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0F6" w:rsidRDefault="00ED0A5D">
      <w:pPr>
        <w:pStyle w:val="Intestazione10"/>
        <w:keepNext/>
        <w:keepLines/>
        <w:shd w:val="clear" w:color="auto" w:fill="auto"/>
        <w:spacing w:after="0" w:line="2050" w:lineRule="exact"/>
        <w:ind w:left="20"/>
      </w:pPr>
      <w:bookmarkStart w:id="0" w:name="bookmark0"/>
      <w:proofErr w:type="spellStart"/>
      <w:r>
        <w:t>Crìtica</w:t>
      </w:r>
      <w:proofErr w:type="spellEnd"/>
      <w:r>
        <w:t xml:space="preserve"> marxista</w:t>
      </w:r>
      <w:bookmarkEnd w:id="0"/>
    </w:p>
    <w:p w:rsidR="006E30F6" w:rsidRDefault="00ED0A5D">
      <w:pPr>
        <w:pStyle w:val="Corpodeltesto20"/>
        <w:shd w:val="clear" w:color="auto" w:fill="000000"/>
        <w:spacing w:before="0" w:after="5712" w:line="440" w:lineRule="exact"/>
        <w:ind w:left="20"/>
      </w:pPr>
      <w:r>
        <w:rPr>
          <w:rStyle w:val="Corpodeltesto21"/>
        </w:rPr>
        <w:t>settembre - ottobre</w:t>
      </w:r>
    </w:p>
    <w:p w:rsidR="006E30F6" w:rsidRDefault="00ED0A5D">
      <w:pPr>
        <w:pStyle w:val="Corpodeltesto30"/>
        <w:shd w:val="clear" w:color="auto" w:fill="auto"/>
        <w:spacing w:before="0" w:line="430" w:lineRule="exact"/>
        <w:ind w:left="20"/>
      </w:pPr>
      <w:r>
        <w:t xml:space="preserve">Rivista bimestrale </w:t>
      </w:r>
      <w:r>
        <w:br w:type="page"/>
      </w:r>
    </w:p>
    <w:p w:rsidR="006E30F6" w:rsidRDefault="00ED0A5D">
      <w:pPr>
        <w:pStyle w:val="Intestazione220"/>
        <w:keepNext/>
        <w:keepLines/>
        <w:shd w:val="clear" w:color="auto" w:fill="auto"/>
        <w:spacing w:after="857" w:line="350" w:lineRule="exact"/>
        <w:ind w:right="20"/>
      </w:pPr>
      <w:bookmarkStart w:id="1" w:name="bookmark1"/>
      <w:r>
        <w:lastRenderedPageBreak/>
        <w:t>Note e polemiche</w:t>
      </w:r>
      <w:bookmarkEnd w:id="1"/>
    </w:p>
    <w:p w:rsidR="006E30F6" w:rsidRDefault="00ED0A5D">
      <w:pPr>
        <w:pStyle w:val="Intestazione20"/>
        <w:keepNext/>
        <w:keepLines/>
        <w:shd w:val="clear" w:color="auto" w:fill="auto"/>
        <w:spacing w:before="0" w:after="940" w:line="350" w:lineRule="exact"/>
        <w:ind w:right="20"/>
      </w:pPr>
      <w:bookmarkStart w:id="2" w:name="bookmark2"/>
      <w:r>
        <w:t>A proposito del « pensiero keynesiano »</w:t>
      </w:r>
      <w:bookmarkEnd w:id="2"/>
    </w:p>
    <w:p w:rsidR="006E30F6" w:rsidRDefault="00ED0A5D">
      <w:pPr>
        <w:pStyle w:val="Corpodeltesto31"/>
        <w:numPr>
          <w:ilvl w:val="0"/>
          <w:numId w:val="2"/>
        </w:numPr>
        <w:shd w:val="clear" w:color="auto" w:fill="auto"/>
        <w:tabs>
          <w:tab w:val="left" w:pos="759"/>
        </w:tabs>
        <w:spacing w:after="0" w:line="216" w:lineRule="exact"/>
        <w:ind w:left="20" w:right="20" w:firstLine="420"/>
        <w:jc w:val="both"/>
      </w:pPr>
      <w:r>
        <w:t xml:space="preserve">A premessa di questa breve nota occorre dire che è senz’altro positivo che nel partito vada crescendo </w:t>
      </w:r>
      <w:r>
        <w:t>l’attenzione posta a problemi di analisi economica, sia teorica che concreta. Ed è importante, perciò, che nell’ambito dell’istituto Gramsci si sia data vita ad un’attività di ricerca e dibattito tra i compagni su tali problemi.</w:t>
      </w:r>
    </w:p>
    <w:p w:rsidR="006E30F6" w:rsidRDefault="00ED0A5D">
      <w:pPr>
        <w:pStyle w:val="Corpodeltesto31"/>
        <w:shd w:val="clear" w:color="auto" w:fill="auto"/>
        <w:spacing w:after="184" w:line="216" w:lineRule="exact"/>
        <w:ind w:left="20" w:right="20" w:firstLine="420"/>
        <w:jc w:val="both"/>
      </w:pPr>
      <w:r>
        <w:t>Va però anche detto con mol</w:t>
      </w:r>
      <w:r>
        <w:t xml:space="preserve">ta franchezza che la relazione di P.C. </w:t>
      </w:r>
      <w:proofErr w:type="spellStart"/>
      <w:r>
        <w:t>Padoan</w:t>
      </w:r>
      <w:proofErr w:type="spellEnd"/>
      <w:r>
        <w:t xml:space="preserve"> sull’attività svolta finora da uno dei gruppi di la</w:t>
      </w:r>
      <w:r>
        <w:softHyphen/>
        <w:t>voro *, quello che si è occupato del « pensiero keynesiano », non può non lasciare molto perplessi sulla sua adeguatezza a costituire una base per la discussi</w:t>
      </w:r>
      <w:r>
        <w:t>one sull’argomento, mentre sembra aggiungere confusione a quella già esistente.</w:t>
      </w:r>
    </w:p>
    <w:p w:rsidR="006E30F6" w:rsidRDefault="00ED0A5D">
      <w:pPr>
        <w:pStyle w:val="Corpodeltesto31"/>
        <w:numPr>
          <w:ilvl w:val="0"/>
          <w:numId w:val="2"/>
        </w:numPr>
        <w:shd w:val="clear" w:color="auto" w:fill="auto"/>
        <w:tabs>
          <w:tab w:val="left" w:pos="721"/>
        </w:tabs>
        <w:spacing w:after="0" w:line="211" w:lineRule="exact"/>
        <w:ind w:left="20" w:right="20" w:firstLine="420"/>
        <w:jc w:val="both"/>
      </w:pPr>
      <w:r>
        <w:t>Secondo la relazione, uno degli « elementi fondamentali della "visione” keynesiana » sarebbe « l’incompatibilità tra con</w:t>
      </w:r>
      <w:r>
        <w:softHyphen/>
        <w:t xml:space="preserve">sumo e accumulazione, per cui se si vuole consumare si </w:t>
      </w:r>
      <w:r>
        <w:t>deve rinunciare ad accumulare e viceversa » (p. 149).</w:t>
      </w:r>
    </w:p>
    <w:p w:rsidR="006E30F6" w:rsidRDefault="00ED0A5D">
      <w:pPr>
        <w:pStyle w:val="Corpodeltesto31"/>
        <w:shd w:val="clear" w:color="auto" w:fill="auto"/>
        <w:spacing w:after="180" w:line="211" w:lineRule="exact"/>
        <w:ind w:left="20" w:right="20" w:firstLine="420"/>
        <w:jc w:val="both"/>
        <w:sectPr w:rsidR="006E30F6">
          <w:type w:val="continuous"/>
          <w:pgSz w:w="11909" w:h="16834"/>
          <w:pgMar w:top="3207" w:right="2721" w:bottom="2775" w:left="2793" w:header="0" w:footer="3" w:gutter="0"/>
          <w:cols w:space="720"/>
          <w:noEndnote/>
          <w:docGrid w:linePitch="360"/>
        </w:sectPr>
      </w:pPr>
      <w:r>
        <w:t xml:space="preserve">Si avverte esplicitamente: « Non ci interessa... definire "cosa ha veramente detto </w:t>
      </w:r>
      <w:proofErr w:type="spellStart"/>
      <w:r>
        <w:t>Keynes</w:t>
      </w:r>
      <w:proofErr w:type="spellEnd"/>
      <w:r>
        <w:t xml:space="preserve">" » (p. 155). E qualunque lettore della </w:t>
      </w:r>
      <w:r>
        <w:rPr>
          <w:rStyle w:val="CorpodeltestoCorsivo"/>
        </w:rPr>
        <w:t>Teoria generale</w:t>
      </w:r>
      <w:r>
        <w:t xml:space="preserve"> sa che questo « elemento fondamen</w:t>
      </w:r>
      <w:r>
        <w:softHyphen/>
        <w:t>t</w:t>
      </w:r>
      <w:r>
        <w:t xml:space="preserve">ale » della « visione keynesiana » è l’esatto contrario di quel che ha sostenuto </w:t>
      </w:r>
      <w:proofErr w:type="spellStart"/>
      <w:r>
        <w:t>Keynes</w:t>
      </w:r>
      <w:proofErr w:type="spellEnd"/>
      <w:r>
        <w:t>. Questi scrive: « Fino al punto in cui si raggiunga la piena occupazione, l’aumento del capitale non dipende affatto da una bassa propensione a consumare, ma, al contra</w:t>
      </w:r>
      <w:r>
        <w:t xml:space="preserve">rio, è da essa ostacolato » </w:t>
      </w:r>
      <w:r>
        <w:rPr>
          <w:vertAlign w:val="superscript"/>
        </w:rPr>
        <w:footnoteReference w:id="1"/>
      </w:r>
      <w:r>
        <w:t xml:space="preserve"> (che in condizioni di piena occupazione vi </w:t>
      </w:r>
    </w:p>
    <w:p w:rsidR="006E30F6" w:rsidRDefault="00ED0A5D">
      <w:pPr>
        <w:pStyle w:val="Corpodeltesto31"/>
        <w:shd w:val="clear" w:color="auto" w:fill="auto"/>
        <w:spacing w:after="180" w:line="211" w:lineRule="exact"/>
        <w:ind w:left="20" w:right="20" w:firstLine="420"/>
        <w:jc w:val="both"/>
      </w:pPr>
      <w:r>
        <w:lastRenderedPageBreak/>
        <w:t xml:space="preserve">sia </w:t>
      </w:r>
      <w:proofErr w:type="spellStart"/>
      <w:r>
        <w:t>alternatività</w:t>
      </w:r>
      <w:proofErr w:type="spellEnd"/>
      <w:r>
        <w:t xml:space="preserve"> tra aumentare il consumo ed aumentare l’investi</w:t>
      </w:r>
      <w:r>
        <w:softHyphen/>
        <w:t>mento è vero indipendentemente dalla teoria che uno creda di condividere).</w:t>
      </w:r>
    </w:p>
    <w:p w:rsidR="006E30F6" w:rsidRDefault="00ED0A5D">
      <w:pPr>
        <w:pStyle w:val="Corpodeltesto31"/>
        <w:numPr>
          <w:ilvl w:val="0"/>
          <w:numId w:val="2"/>
        </w:numPr>
        <w:shd w:val="clear" w:color="auto" w:fill="auto"/>
        <w:tabs>
          <w:tab w:val="left" w:pos="764"/>
        </w:tabs>
        <w:spacing w:after="180" w:line="211" w:lineRule="exact"/>
        <w:ind w:left="20" w:right="20" w:firstLine="400"/>
        <w:jc w:val="both"/>
      </w:pPr>
      <w:r>
        <w:t xml:space="preserve">Detto ciò, è lecito da ora supporre che </w:t>
      </w:r>
      <w:r>
        <w:t xml:space="preserve">il pensiero di cui si voleva mostrare il « fallimento » non fosse quello di </w:t>
      </w:r>
      <w:proofErr w:type="spellStart"/>
      <w:r>
        <w:t>J.M.</w:t>
      </w:r>
      <w:proofErr w:type="spellEnd"/>
      <w:r>
        <w:t xml:space="preserve"> Key- </w:t>
      </w:r>
      <w:proofErr w:type="spellStart"/>
      <w:r>
        <w:t>nes</w:t>
      </w:r>
      <w:proofErr w:type="spellEnd"/>
      <w:r>
        <w:t xml:space="preserve">. Anche perciò non sembra utile seguire la relazione per le vie delle interpretazioni di questo pensiero, ricostruite alla luce di tale « lettura » di </w:t>
      </w:r>
      <w:proofErr w:type="spellStart"/>
      <w:r>
        <w:t>Keynes</w:t>
      </w:r>
      <w:proofErr w:type="spellEnd"/>
      <w:r>
        <w:t>. Si perde</w:t>
      </w:r>
      <w:r>
        <w:t xml:space="preserve">rebbe altrimenti di vista con molta facilità (come sembra accadere nella relazione) quali siano le questioni importanti nel pensiero di </w:t>
      </w:r>
      <w:proofErr w:type="spellStart"/>
      <w:r>
        <w:t>Keynes</w:t>
      </w:r>
      <w:proofErr w:type="spellEnd"/>
      <w:r>
        <w:t>, quelle che legitti</w:t>
      </w:r>
      <w:r>
        <w:softHyphen/>
        <w:t>mano il fatto che di esso si discuta su una rivista del partito comu</w:t>
      </w:r>
      <w:r>
        <w:softHyphen/>
        <w:t>nista, e non su una qual</w:t>
      </w:r>
      <w:r>
        <w:t>unque pubblicazione accademica.</w:t>
      </w:r>
    </w:p>
    <w:p w:rsidR="006E30F6" w:rsidRDefault="00ED0A5D">
      <w:pPr>
        <w:pStyle w:val="Corpodeltesto31"/>
        <w:numPr>
          <w:ilvl w:val="0"/>
          <w:numId w:val="2"/>
        </w:numPr>
        <w:shd w:val="clear" w:color="auto" w:fill="auto"/>
        <w:tabs>
          <w:tab w:val="left" w:pos="764"/>
        </w:tabs>
        <w:spacing w:after="172" w:line="211" w:lineRule="exact"/>
        <w:ind w:left="20" w:right="20" w:firstLine="400"/>
        <w:jc w:val="both"/>
      </w:pPr>
      <w:r>
        <w:t xml:space="preserve">È certamente molto difficile ricostruire le idee di </w:t>
      </w:r>
      <w:proofErr w:type="spellStart"/>
      <w:r>
        <w:t>Keynes</w:t>
      </w:r>
      <w:proofErr w:type="spellEnd"/>
      <w:r>
        <w:t xml:space="preserve"> in un insieme coerente di proposizioni. Non si cercherà qui di farlo, ed anzi si possono avanzare seri dubbi sulla possibilità di farlo. Proprio per questo ci sembra</w:t>
      </w:r>
      <w:r>
        <w:t xml:space="preserve"> che la discussione vada condotta su alcuni punti che sono al tempo stesso importanti nel pensiero di </w:t>
      </w:r>
      <w:proofErr w:type="spellStart"/>
      <w:r>
        <w:t>Keynes</w:t>
      </w:r>
      <w:proofErr w:type="spellEnd"/>
      <w:r>
        <w:t xml:space="preserve"> ed interessanti per noi.</w:t>
      </w:r>
    </w:p>
    <w:p w:rsidR="006E30F6" w:rsidRDefault="00ED0A5D">
      <w:pPr>
        <w:pStyle w:val="Corpodeltesto31"/>
        <w:numPr>
          <w:ilvl w:val="0"/>
          <w:numId w:val="2"/>
        </w:numPr>
        <w:shd w:val="clear" w:color="auto" w:fill="auto"/>
        <w:tabs>
          <w:tab w:val="left" w:pos="778"/>
        </w:tabs>
        <w:spacing w:after="0" w:line="221" w:lineRule="exact"/>
        <w:ind w:left="20" w:right="20" w:firstLine="400"/>
        <w:jc w:val="both"/>
      </w:pPr>
      <w:r>
        <w:t>Il punto da cui egli parte è la negazione di due con</w:t>
      </w:r>
      <w:r>
        <w:softHyphen/>
        <w:t xml:space="preserve">clusioni cui giungeva la teoria marginalista: </w:t>
      </w:r>
      <w:r>
        <w:rPr>
          <w:rStyle w:val="CorpodeltestoCorsivo"/>
        </w:rPr>
        <w:t>a)</w:t>
      </w:r>
      <w:r>
        <w:t xml:space="preserve"> che non vi può esser</w:t>
      </w:r>
      <w:r>
        <w:t xml:space="preserve">e disoccupazione; </w:t>
      </w:r>
      <w:r>
        <w:rPr>
          <w:rStyle w:val="CorpodeltestoCorsivo"/>
        </w:rPr>
        <w:t>b)</w:t>
      </w:r>
      <w:r>
        <w:t xml:space="preserve"> che « l’offerta crea la propria doman</w:t>
      </w:r>
      <w:r>
        <w:softHyphen/>
        <w:t>da ». Egli le vede come « la stessa cosa, nel senso che esse stanno in piedi e cadono insieme »</w:t>
      </w:r>
      <w:r>
        <w:rPr>
          <w:vertAlign w:val="superscript"/>
        </w:rPr>
        <w:t>3</w:t>
      </w:r>
      <w:r>
        <w:t xml:space="preserve">. E ciò era vero, almeno per la teoria marginalista </w:t>
      </w:r>
      <w:r>
        <w:rPr>
          <w:rStyle w:val="CorpodeltestoCorsivo"/>
        </w:rPr>
        <w:t>*.</w:t>
      </w:r>
    </w:p>
    <w:p w:rsidR="006E30F6" w:rsidRDefault="00ED0A5D">
      <w:pPr>
        <w:pStyle w:val="Corpodeltesto31"/>
        <w:shd w:val="clear" w:color="auto" w:fill="auto"/>
        <w:spacing w:after="222" w:line="221" w:lineRule="exact"/>
        <w:ind w:left="20" w:right="20" w:firstLine="400"/>
        <w:jc w:val="both"/>
      </w:pPr>
      <w:r>
        <w:t>Questa teoria arrivava a tali conclusioni part</w:t>
      </w:r>
      <w:r>
        <w:t>endo da un parti</w:t>
      </w:r>
      <w:r>
        <w:softHyphen/>
        <w:t>colare modo di concepire il funzionamento del sistema economico. Secondo esso, a ciascun insieme di prezzi che il singolo consu</w:t>
      </w:r>
      <w:r>
        <w:softHyphen/>
        <w:t>matore trovi dato sul mercato egli domanderebbe i beni di consumo in proporzioni tali da rendere massima 1’« ut</w:t>
      </w:r>
      <w:r>
        <w:t xml:space="preserve">ilità » ricavata dal suo reddito, e a ciascun insieme di « prezzi » dei « fattori </w:t>
      </w:r>
      <w:proofErr w:type="spellStart"/>
      <w:r>
        <w:t>produt-</w:t>
      </w:r>
      <w:proofErr w:type="spellEnd"/>
    </w:p>
    <w:p w:rsidR="006E30F6" w:rsidRDefault="00ED0A5D">
      <w:pPr>
        <w:pStyle w:val="Corpodeltesto60"/>
        <w:shd w:val="clear" w:color="auto" w:fill="auto"/>
        <w:spacing w:before="0"/>
        <w:ind w:left="20" w:right="20"/>
      </w:pPr>
      <w:proofErr w:type="spellStart"/>
      <w:r>
        <w:t>nes</w:t>
      </w:r>
      <w:proofErr w:type="spellEnd"/>
      <w:r>
        <w:t xml:space="preserve"> stesso notava </w:t>
      </w:r>
      <w:r>
        <w:rPr>
          <w:rStyle w:val="Corpodeltesto6Corsivo"/>
        </w:rPr>
        <w:t>(ibidem),</w:t>
      </w:r>
      <w:r>
        <w:t xml:space="preserve"> si eliminava « una delle principali giustificazioni sociali di grandi disuguaglianze di ricchezza ». Tutto ciò naturalmente non avrebbe av</w:t>
      </w:r>
      <w:r>
        <w:t xml:space="preserve">uto alcuna base, se </w:t>
      </w:r>
      <w:proofErr w:type="spellStart"/>
      <w:r>
        <w:t>Keynes</w:t>
      </w:r>
      <w:proofErr w:type="spellEnd"/>
      <w:r>
        <w:t xml:space="preserve"> avesse partecipato di quella che </w:t>
      </w:r>
      <w:proofErr w:type="spellStart"/>
      <w:r>
        <w:t>Padoan</w:t>
      </w:r>
      <w:proofErr w:type="spellEnd"/>
      <w:r>
        <w:t xml:space="preserve"> definisce « visione keynesiana ».</w:t>
      </w:r>
    </w:p>
    <w:p w:rsidR="006E30F6" w:rsidRDefault="00ED0A5D">
      <w:pPr>
        <w:pStyle w:val="Corpodeltesto60"/>
        <w:numPr>
          <w:ilvl w:val="0"/>
          <w:numId w:val="3"/>
        </w:numPr>
        <w:shd w:val="clear" w:color="auto" w:fill="auto"/>
        <w:tabs>
          <w:tab w:val="left" w:pos="564"/>
        </w:tabs>
        <w:spacing w:before="0"/>
        <w:ind w:left="20" w:firstLine="400"/>
      </w:pPr>
      <w:r>
        <w:rPr>
          <w:rStyle w:val="Corpodeltesto6Corsivo"/>
        </w:rPr>
        <w:t>Ivi,</w:t>
      </w:r>
      <w:r>
        <w:t xml:space="preserve"> pp. 161-162.</w:t>
      </w:r>
    </w:p>
    <w:p w:rsidR="006E30F6" w:rsidRDefault="00ED0A5D">
      <w:pPr>
        <w:pStyle w:val="Corpodeltesto60"/>
        <w:numPr>
          <w:ilvl w:val="0"/>
          <w:numId w:val="3"/>
        </w:numPr>
        <w:shd w:val="clear" w:color="auto" w:fill="auto"/>
        <w:tabs>
          <w:tab w:val="left" w:pos="500"/>
        </w:tabs>
        <w:spacing w:before="0"/>
        <w:ind w:left="20" w:right="20" w:firstLine="400"/>
      </w:pPr>
      <w:r>
        <w:t>Lo stesso non è vero ad esempio per la teoria di Ricardo. Questi accettò la (</w:t>
      </w:r>
      <w:r>
        <w:rPr>
          <w:rStyle w:val="Corpodeltesto6Corsivo"/>
        </w:rPr>
        <w:t>b</w:t>
      </w:r>
      <w:r>
        <w:t xml:space="preserve">), negando la possibilità di una sovrapproduzione generale </w:t>
      </w:r>
      <w:r>
        <w:t>di merci, ma non per questo si trovava a dover sostenere la tendenza dell’eco</w:t>
      </w:r>
      <w:r>
        <w:softHyphen/>
        <w:t>nomia verso una situazione di piena occupazione. Proprio perciò è ingan</w:t>
      </w:r>
      <w:r>
        <w:softHyphen/>
        <w:t xml:space="preserve">nevole la definizione di « classiche » che </w:t>
      </w:r>
      <w:proofErr w:type="spellStart"/>
      <w:r>
        <w:t>Keynes</w:t>
      </w:r>
      <w:proofErr w:type="spellEnd"/>
      <w:r>
        <w:t xml:space="preserve"> dà alle teorie che intende criticare, assimilando Ricard</w:t>
      </w:r>
      <w:r>
        <w:t>o alla teoria marginalista. Ciò deriva dall’</w:t>
      </w:r>
      <w:proofErr w:type="spellStart"/>
      <w:r>
        <w:t>inter-</w:t>
      </w:r>
      <w:proofErr w:type="spellEnd"/>
      <w:r>
        <w:t xml:space="preserve"> </w:t>
      </w:r>
      <w:proofErr w:type="spellStart"/>
      <w:r>
        <w:t>pretare</w:t>
      </w:r>
      <w:proofErr w:type="spellEnd"/>
      <w:r>
        <w:t xml:space="preserve"> il marginalismo come continuazione e «generalizzazione» della teo</w:t>
      </w:r>
      <w:r>
        <w:softHyphen/>
        <w:t xml:space="preserve">ria </w:t>
      </w:r>
      <w:proofErr w:type="spellStart"/>
      <w:r>
        <w:t>ricardiana</w:t>
      </w:r>
      <w:proofErr w:type="spellEnd"/>
      <w:r>
        <w:t>, il che fu proprio dei marginalisti inglesi, in particolare di Marshall.</w:t>
      </w:r>
    </w:p>
    <w:p w:rsidR="006E30F6" w:rsidRDefault="00ED0A5D">
      <w:pPr>
        <w:pStyle w:val="Corpodeltesto31"/>
        <w:shd w:val="clear" w:color="auto" w:fill="auto"/>
        <w:spacing w:after="0" w:line="211" w:lineRule="exact"/>
        <w:ind w:left="20" w:right="20"/>
        <w:jc w:val="both"/>
      </w:pPr>
      <w:proofErr w:type="spellStart"/>
      <w:r>
        <w:t>tivi</w:t>
      </w:r>
      <w:proofErr w:type="spellEnd"/>
      <w:r>
        <w:t xml:space="preserve"> » (lavoro, terra e « capitale ») l’imp</w:t>
      </w:r>
      <w:r>
        <w:t>renditore li impiegherebbe nelle proporzioni che rendano massima la differenza tra ricavo e costo.</w:t>
      </w:r>
    </w:p>
    <w:p w:rsidR="006E30F6" w:rsidRDefault="00ED0A5D">
      <w:pPr>
        <w:pStyle w:val="Corpodeltesto31"/>
        <w:shd w:val="clear" w:color="auto" w:fill="auto"/>
        <w:spacing w:after="0" w:line="211" w:lineRule="exact"/>
        <w:ind w:left="20" w:right="20" w:firstLine="420"/>
        <w:jc w:val="both"/>
      </w:pPr>
      <w:r>
        <w:t xml:space="preserve">Supposto che « l’utilità marginale » dei beni di consumo e la « produttività marginale » dei fattori siano decrescenti, si arriva cosi alla costruzione di « </w:t>
      </w:r>
      <w:r>
        <w:t>funzioni di domanda » dei beni e dei fattori, negativamente elastiche ai rispettivi prezzi. Di qui la conclusione che, ad ogni livello di prezzo per cui domanda e offerta di un fattore o di un bene non siano eguali, la concorrenza (tra i venditori se la do</w:t>
      </w:r>
      <w:r>
        <w:t>manda è inferiore all’offerta, tra i compratori nell’altro caso) farebbe tendere tale prezzo a variare verso il livello per cui si realizzi l’eguaglianza di domanda e offerta (livello la cui esistenza è implicita nella forma stessa della funzione di domand</w:t>
      </w:r>
      <w:r>
        <w:t>a).</w:t>
      </w:r>
    </w:p>
    <w:p w:rsidR="006E30F6" w:rsidRDefault="00ED0A5D">
      <w:pPr>
        <w:pStyle w:val="Corpodeltesto31"/>
        <w:shd w:val="clear" w:color="auto" w:fill="auto"/>
        <w:spacing w:after="0" w:line="211" w:lineRule="exact"/>
        <w:ind w:left="20" w:right="20" w:firstLine="420"/>
        <w:jc w:val="both"/>
      </w:pPr>
      <w:r>
        <w:t>Il fatto che i consumatori non spendano tutto il loro reddito in beni di consumo, ma in parte risparmino, non potrebbe provo</w:t>
      </w:r>
      <w:r>
        <w:softHyphen/>
        <w:t xml:space="preserve">care d’altro lato fenomeni di </w:t>
      </w:r>
      <w:r>
        <w:lastRenderedPageBreak/>
        <w:t xml:space="preserve">carenza generale di domanda, poiché, qualunque fosse l’ammontare di risparmio, le variazioni del </w:t>
      </w:r>
      <w:r>
        <w:t>saggio di interesse porterebbero all’eguaglianza tale ammontare con l’am</w:t>
      </w:r>
      <w:r>
        <w:softHyphen/>
        <w:t>montare di investimento deciso (sulla base del saggio di interesse) dagli imprenditori, analogamente a come domanda e offerta di una qualsiasi merce si equilibrerebbero attraverso var</w:t>
      </w:r>
      <w:r>
        <w:t>iazioni del prezzo di essa.</w:t>
      </w:r>
    </w:p>
    <w:p w:rsidR="006E30F6" w:rsidRDefault="00ED0A5D">
      <w:pPr>
        <w:pStyle w:val="Corpodeltesto31"/>
        <w:shd w:val="clear" w:color="auto" w:fill="auto"/>
        <w:spacing w:after="180" w:line="211" w:lineRule="exact"/>
        <w:ind w:left="20" w:right="20" w:firstLine="420"/>
        <w:jc w:val="both"/>
      </w:pPr>
      <w:r>
        <w:t>Una tale teoria, quindi, di fronte per esempio alla disoccu</w:t>
      </w:r>
      <w:r>
        <w:softHyphen/>
        <w:t>pazione di lavoro, poteva « spiegarla » solo con « attriti » i quali ostacolino la « naturale » tendenza del mercato concorrenziale a rendere eguali domanda e offerta (</w:t>
      </w:r>
      <w:r>
        <w:t>e ovviamente il principale di questi « attriti » sarebbe dovuto all’esistenza di sindacati dei lavo</w:t>
      </w:r>
      <w:r>
        <w:softHyphen/>
        <w:t>ratori, che sarebbero perciò i maggiori responsabili della disoccu</w:t>
      </w:r>
      <w:r>
        <w:softHyphen/>
        <w:t>pazione). Nessun fenomeno di disoccupazione (e, più in generale, di divergenza tra domand</w:t>
      </w:r>
      <w:r>
        <w:t>a e offerta per alcun fattore o bene) era ammissibile, salvo temporaneamente, purché la concorrenza potesse agire liberamente.</w:t>
      </w:r>
    </w:p>
    <w:p w:rsidR="006E30F6" w:rsidRDefault="00ED0A5D">
      <w:pPr>
        <w:pStyle w:val="Corpodeltesto31"/>
        <w:numPr>
          <w:ilvl w:val="0"/>
          <w:numId w:val="2"/>
        </w:numPr>
        <w:shd w:val="clear" w:color="auto" w:fill="auto"/>
        <w:tabs>
          <w:tab w:val="left" w:pos="769"/>
        </w:tabs>
        <w:spacing w:after="0" w:line="211" w:lineRule="exact"/>
        <w:ind w:left="20" w:right="20" w:firstLine="420"/>
        <w:jc w:val="both"/>
      </w:pPr>
      <w:proofErr w:type="spellStart"/>
      <w:r>
        <w:t>Keynes</w:t>
      </w:r>
      <w:proofErr w:type="spellEnd"/>
      <w:r>
        <w:t xml:space="preserve"> contesta le conclusioni di questa teoria negando che il saggio di interesse svolga un ruolo equilibratore tra inve</w:t>
      </w:r>
      <w:r>
        <w:softHyphen/>
        <w:t>stiment</w:t>
      </w:r>
      <w:r>
        <w:t>o e risparmio. In ciò, come egli stesso dice</w:t>
      </w:r>
      <w:r>
        <w:rPr>
          <w:vertAlign w:val="superscript"/>
        </w:rPr>
        <w:footnoteReference w:id="2"/>
      </w:r>
      <w:r>
        <w:t>, consiste la « novità iniziale » della sua teoria.</w:t>
      </w:r>
    </w:p>
    <w:p w:rsidR="006E30F6" w:rsidRDefault="00ED0A5D">
      <w:pPr>
        <w:pStyle w:val="Corpodeltesto31"/>
        <w:shd w:val="clear" w:color="auto" w:fill="auto"/>
        <w:spacing w:after="0" w:line="211" w:lineRule="exact"/>
        <w:ind w:left="20" w:right="20" w:firstLine="420"/>
        <w:jc w:val="both"/>
      </w:pPr>
      <w:r>
        <w:t>Egli sostiene che, se al livello di reddito corrispondente alla piena occupazione, l’ammontare di investimento fosse inferiore all’ammontare di risparmio, le v</w:t>
      </w:r>
      <w:r>
        <w:t xml:space="preserve">ariazioni necessarie per renderli eguali si avrebbero attraverso una contrazione del </w:t>
      </w:r>
      <w:r>
        <w:rPr>
          <w:rStyle w:val="CorpodeltestoCorsivo"/>
        </w:rPr>
        <w:t>livello</w:t>
      </w:r>
      <w:r>
        <w:t xml:space="preserve"> del reddito (che farebbe diminuire il risparmio) e non attraverso una </w:t>
      </w:r>
      <w:r>
        <w:rPr>
          <w:rStyle w:val="Corpodeltesto1"/>
        </w:rPr>
        <w:t xml:space="preserve">riduzione del saggio dell’interesse (che farebbe diminuire la </w:t>
      </w:r>
      <w:r>
        <w:rPr>
          <w:rStyle w:val="CorpodeltestoCorsivo0"/>
        </w:rPr>
        <w:t>pro</w:t>
      </w:r>
      <w:r>
        <w:rPr>
          <w:rStyle w:val="CorpodeltestoCorsivo0"/>
        </w:rPr>
        <w:softHyphen/>
        <w:t>porzione</w:t>
      </w:r>
      <w:r>
        <w:rPr>
          <w:rStyle w:val="Corpodeltesto1"/>
        </w:rPr>
        <w:t xml:space="preserve"> di reddito risparm</w:t>
      </w:r>
      <w:r>
        <w:rPr>
          <w:rStyle w:val="Corpodeltesto1"/>
        </w:rPr>
        <w:t>iato e contemporaneamente aumentare l’investimento).</w:t>
      </w:r>
    </w:p>
    <w:p w:rsidR="006E30F6" w:rsidRDefault="00ED0A5D">
      <w:pPr>
        <w:pStyle w:val="Corpodeltesto31"/>
        <w:shd w:val="clear" w:color="auto" w:fill="auto"/>
        <w:spacing w:after="0" w:line="211" w:lineRule="exact"/>
        <w:ind w:left="20" w:right="20" w:firstLine="420"/>
        <w:jc w:val="both"/>
      </w:pPr>
      <w:r>
        <w:rPr>
          <w:rStyle w:val="Corpodeltesto1"/>
        </w:rPr>
        <w:t>Sarebbe cioè il livello del reddito l’elemento « equilibratore » tra risparmi e investimenti; e, al contrario di quanto risultava dall’analisi marginalista, sarebbero i risparmi a doversi adeguare agli i</w:t>
      </w:r>
      <w:r>
        <w:rPr>
          <w:rStyle w:val="Corpodeltesto1"/>
        </w:rPr>
        <w:t>nvestimenti.</w:t>
      </w:r>
    </w:p>
    <w:p w:rsidR="006E30F6" w:rsidRDefault="00ED0A5D">
      <w:pPr>
        <w:pStyle w:val="Corpodeltesto31"/>
        <w:shd w:val="clear" w:color="auto" w:fill="auto"/>
        <w:spacing w:after="180" w:line="211" w:lineRule="exact"/>
        <w:ind w:left="20" w:right="20" w:firstLine="420"/>
        <w:jc w:val="both"/>
      </w:pPr>
      <w:r>
        <w:rPr>
          <w:rStyle w:val="Corpodeltesto1"/>
        </w:rPr>
        <w:t>Il saggio dell’interesse non svolgerebbe in questo meccanismo alcun ruolo essenziale; esso sarebbe invece determinato da fattori puramente monetari (offerta di moneta determinata dalla politica delle autorità monetarie e domanda di moneta dipe</w:t>
      </w:r>
      <w:r>
        <w:rPr>
          <w:rStyle w:val="Corpodeltesto1"/>
        </w:rPr>
        <w:t>ndente dal saggio dell’interesse stesso).</w:t>
      </w:r>
    </w:p>
    <w:p w:rsidR="006E30F6" w:rsidRDefault="00ED0A5D">
      <w:pPr>
        <w:pStyle w:val="Corpodeltesto31"/>
        <w:numPr>
          <w:ilvl w:val="0"/>
          <w:numId w:val="2"/>
        </w:numPr>
        <w:shd w:val="clear" w:color="auto" w:fill="auto"/>
        <w:tabs>
          <w:tab w:val="left" w:pos="759"/>
        </w:tabs>
        <w:spacing w:after="0" w:line="211" w:lineRule="exact"/>
        <w:ind w:left="20" w:right="20" w:firstLine="420"/>
        <w:jc w:val="both"/>
      </w:pPr>
      <w:r>
        <w:rPr>
          <w:rStyle w:val="Corpodeltesto1"/>
        </w:rPr>
        <w:t xml:space="preserve">Non si vuol certo sostenere che nel ragionamento di </w:t>
      </w:r>
      <w:proofErr w:type="spellStart"/>
      <w:r>
        <w:rPr>
          <w:rStyle w:val="Corpodeltesto1"/>
        </w:rPr>
        <w:t>Keynes</w:t>
      </w:r>
      <w:proofErr w:type="spellEnd"/>
      <w:r>
        <w:rPr>
          <w:rStyle w:val="Corpodeltesto1"/>
        </w:rPr>
        <w:t xml:space="preserve"> non vi siano punti deboli. Al contrario, come è stato argo</w:t>
      </w:r>
      <w:r>
        <w:rPr>
          <w:rStyle w:val="Corpodeltesto1"/>
        </w:rPr>
        <w:softHyphen/>
        <w:t xml:space="preserve">mentato da </w:t>
      </w:r>
      <w:proofErr w:type="spellStart"/>
      <w:r>
        <w:rPr>
          <w:rStyle w:val="Corpodeltesto1"/>
        </w:rPr>
        <w:t>Garegnani</w:t>
      </w:r>
      <w:proofErr w:type="spellEnd"/>
      <w:r>
        <w:rPr>
          <w:rStyle w:val="Corpodeltesto1"/>
          <w:vertAlign w:val="superscript"/>
        </w:rPr>
        <w:footnoteReference w:id="3"/>
      </w:r>
      <w:r>
        <w:rPr>
          <w:rStyle w:val="Corpodeltesto1"/>
        </w:rPr>
        <w:t xml:space="preserve">, in esso « vi è come la sovrapposizione di due strati fondamentalmente </w:t>
      </w:r>
      <w:r>
        <w:rPr>
          <w:rStyle w:val="Corpodeltesto1"/>
        </w:rPr>
        <w:t>eterogenei di riflessione teorica ».</w:t>
      </w:r>
    </w:p>
    <w:p w:rsidR="006E30F6" w:rsidRDefault="00ED0A5D">
      <w:pPr>
        <w:pStyle w:val="Corpodeltesto31"/>
        <w:shd w:val="clear" w:color="auto" w:fill="auto"/>
        <w:spacing w:after="0" w:line="211" w:lineRule="exact"/>
        <w:ind w:left="20" w:right="20" w:firstLine="420"/>
        <w:jc w:val="both"/>
      </w:pPr>
      <w:r>
        <w:rPr>
          <w:rStyle w:val="Corpodeltesto1"/>
        </w:rPr>
        <w:t>Da una parte, egli si opponeva alle conclusioni della teoria marginalista, come si è visto. Dall’altra parte, di questa teoria accettava tutte le premesse, tanto da affermare che essa era un « caso particolare » della s</w:t>
      </w:r>
      <w:r>
        <w:rPr>
          <w:rStyle w:val="Corpodeltesto1"/>
        </w:rPr>
        <w:t>ua. È certo che cosi costituiva una pesante ipoteca sulla possibilità di arrivare alle conclusioni cui mirava, e poneva la base per il « recupero » della sua critica all’interno della teoria marginalista.</w:t>
      </w:r>
    </w:p>
    <w:p w:rsidR="006E30F6" w:rsidRDefault="00ED0A5D">
      <w:pPr>
        <w:pStyle w:val="Corpodeltesto31"/>
        <w:shd w:val="clear" w:color="auto" w:fill="auto"/>
        <w:spacing w:after="0" w:line="211" w:lineRule="exact"/>
        <w:ind w:left="20" w:right="20" w:firstLine="420"/>
        <w:jc w:val="both"/>
      </w:pPr>
      <w:r>
        <w:rPr>
          <w:rStyle w:val="Corpodeltesto1"/>
        </w:rPr>
        <w:t>Si può argomentare infatti che quando si ammetta, c</w:t>
      </w:r>
      <w:r>
        <w:rPr>
          <w:rStyle w:val="Corpodeltesto1"/>
        </w:rPr>
        <w:t xml:space="preserve">ome </w:t>
      </w:r>
      <w:proofErr w:type="spellStart"/>
      <w:r>
        <w:rPr>
          <w:rStyle w:val="Corpodeltesto1"/>
        </w:rPr>
        <w:t>Keynes</w:t>
      </w:r>
      <w:proofErr w:type="spellEnd"/>
      <w:r>
        <w:rPr>
          <w:rStyle w:val="Corpodeltesto1"/>
        </w:rPr>
        <w:t>, che gli investimenti siano elastici al saggio di interesse (cioè che si possa costruire una funzione di domanda di « capi</w:t>
      </w:r>
      <w:r>
        <w:rPr>
          <w:rStyle w:val="Corpodeltesto1"/>
        </w:rPr>
        <w:softHyphen/>
        <w:t>tale » elastica al saggio di interesse</w:t>
      </w:r>
      <w:r>
        <w:rPr>
          <w:rStyle w:val="Corpodeltesto1"/>
          <w:vertAlign w:val="superscript"/>
        </w:rPr>
        <w:footnoteReference w:id="4"/>
      </w:r>
      <w:r>
        <w:rPr>
          <w:rStyle w:val="Corpodeltesto1"/>
        </w:rPr>
        <w:t xml:space="preserve">) e si lasci cosi </w:t>
      </w:r>
      <w:r>
        <w:rPr>
          <w:rStyle w:val="Corpodeltesto1"/>
        </w:rPr>
        <w:lastRenderedPageBreak/>
        <w:t>in piedi la nozione stessa di un saggio di interesse di piena occ</w:t>
      </w:r>
      <w:r>
        <w:rPr>
          <w:rStyle w:val="Corpodeltesto1"/>
        </w:rPr>
        <w:t xml:space="preserve">upazione, diviene difficile sostenere che il saggio dell’interesse non svolga un </w:t>
      </w:r>
      <w:r>
        <w:t>ruolo importante nel rendere eguali risparmio ed investimento, e quindi negare che in ultima analisi sia il risparmio a determinare l’investimento.</w:t>
      </w:r>
    </w:p>
    <w:p w:rsidR="006E30F6" w:rsidRDefault="00ED0A5D">
      <w:pPr>
        <w:pStyle w:val="Corpodeltesto31"/>
        <w:shd w:val="clear" w:color="auto" w:fill="auto"/>
        <w:spacing w:after="0" w:line="211" w:lineRule="exact"/>
        <w:ind w:left="20" w:right="20" w:firstLine="420"/>
        <w:jc w:val="both"/>
      </w:pPr>
      <w:r>
        <w:t>Ciò perché quando l’investi</w:t>
      </w:r>
      <w:r>
        <w:t>mento fosse inferiore all’ammon</w:t>
      </w:r>
      <w:r>
        <w:softHyphen/>
        <w:t>tare di risparmio corrispondente al reddito di piena occupazione, sarebbe in generale possibile, in tempi sufficientemente lunghi, ottenere (mediante una diminuzione dei salari monetari o un aumento dell’offerta di moneta) u</w:t>
      </w:r>
      <w:r>
        <w:t>na riduzione del saggio di inte</w:t>
      </w:r>
      <w:r>
        <w:softHyphen/>
        <w:t>resse, e quindi tendere alla piena occupazione, attraverso un aumento degli investimenti.</w:t>
      </w:r>
    </w:p>
    <w:p w:rsidR="006E30F6" w:rsidRDefault="00ED0A5D">
      <w:pPr>
        <w:pStyle w:val="Corpodeltesto31"/>
        <w:shd w:val="clear" w:color="auto" w:fill="auto"/>
        <w:spacing w:after="0" w:line="211" w:lineRule="exact"/>
        <w:ind w:left="20" w:right="20" w:firstLine="420"/>
        <w:jc w:val="both"/>
      </w:pPr>
      <w:r>
        <w:t xml:space="preserve">Le conclusioni di </w:t>
      </w:r>
      <w:proofErr w:type="spellStart"/>
      <w:r>
        <w:t>Keynes</w:t>
      </w:r>
      <w:proofErr w:type="spellEnd"/>
      <w:r>
        <w:t xml:space="preserve"> sarebbero valide soltanto nel caso in cui il saggio di interesse di piena occupazione fosse inferiore al mini</w:t>
      </w:r>
      <w:r>
        <w:t>mo che è necessario a ripagare il rischio che comporta il tenere la propria ricchezza in forma diversa dalla moneta (cioè in titoli). A questo livello minimo la domanda di moneta divente</w:t>
      </w:r>
      <w:r>
        <w:softHyphen/>
        <w:t>rebbe infinitamente elastica rispetto al saggio di interesse e perciò</w:t>
      </w:r>
      <w:r>
        <w:t xml:space="preserve"> non si potrebbe ottenere in alcun modo una riduzione del saggio stesso (e quindi un aumento degli investimenti).</w:t>
      </w:r>
    </w:p>
    <w:p w:rsidR="006E30F6" w:rsidRDefault="00ED0A5D">
      <w:pPr>
        <w:pStyle w:val="Corpodeltesto31"/>
        <w:shd w:val="clear" w:color="auto" w:fill="auto"/>
        <w:spacing w:after="0" w:line="211" w:lineRule="exact"/>
        <w:ind w:left="20" w:right="20" w:firstLine="420"/>
        <w:jc w:val="both"/>
      </w:pPr>
      <w:r>
        <w:t>Se si ammette che il rendimento del capitale non sia ancora sceso molto in basso a seguito dell’accumulazione, il « caso keyne</w:t>
      </w:r>
      <w:r>
        <w:softHyphen/>
        <w:t>siano » potrà v</w:t>
      </w:r>
      <w:r>
        <w:t>erificarsi solo in condizioni di forte depressione, quando la tendenza ad investire sia molto debole e quindi il saggio di interesse necessario per ottenere un ammontare di inve</w:t>
      </w:r>
      <w:r>
        <w:softHyphen/>
        <w:t>stimenti sufficiente sia molto basso o addirittura negativo.</w:t>
      </w:r>
    </w:p>
    <w:p w:rsidR="006E30F6" w:rsidRDefault="00ED0A5D">
      <w:pPr>
        <w:pStyle w:val="Corpodeltesto31"/>
        <w:shd w:val="clear" w:color="auto" w:fill="auto"/>
        <w:spacing w:after="0" w:line="211" w:lineRule="exact"/>
        <w:ind w:left="20" w:right="20" w:firstLine="420"/>
        <w:jc w:val="both"/>
      </w:pPr>
      <w:r>
        <w:t>Cosi la teoria di</w:t>
      </w:r>
      <w:r>
        <w:t xml:space="preserve"> </w:t>
      </w:r>
      <w:proofErr w:type="spellStart"/>
      <w:r>
        <w:t>Keynes</w:t>
      </w:r>
      <w:proofErr w:type="spellEnd"/>
      <w:r>
        <w:t xml:space="preserve"> diventava, con </w:t>
      </w:r>
      <w:proofErr w:type="spellStart"/>
      <w:r>
        <w:t>Hicks</w:t>
      </w:r>
      <w:proofErr w:type="spellEnd"/>
      <w:r>
        <w:t>, la « Teoria economica delle Depressioni »</w:t>
      </w:r>
      <w:r>
        <w:rPr>
          <w:vertAlign w:val="superscript"/>
        </w:rPr>
        <w:footnoteReference w:id="5"/>
      </w:r>
      <w:r>
        <w:t xml:space="preserve">, l’analisi di « una situazione... che certamente gioca un ruolo importante </w:t>
      </w:r>
      <w:r>
        <w:rPr>
          <w:rStyle w:val="CorpodeltestoCorsivo"/>
        </w:rPr>
        <w:t>in alcune fasi del ciclo</w:t>
      </w:r>
      <w:r>
        <w:t xml:space="preserve"> » </w:t>
      </w:r>
      <w:r>
        <w:rPr>
          <w:vertAlign w:val="superscript"/>
        </w:rPr>
        <w:footnoteReference w:id="6"/>
      </w:r>
      <w:r>
        <w:t xml:space="preserve">. Questa teoria, lungi dall’essere </w:t>
      </w:r>
      <w:r>
        <w:rPr>
          <w:rStyle w:val="CorpodeltestoCorsivo"/>
        </w:rPr>
        <w:t>generale,</w:t>
      </w:r>
      <w:r>
        <w:t xml:space="preserve"> come </w:t>
      </w:r>
      <w:proofErr w:type="spellStart"/>
      <w:r>
        <w:t>Keynes</w:t>
      </w:r>
      <w:proofErr w:type="spellEnd"/>
      <w:r>
        <w:t xml:space="preserve"> l’aveva defi</w:t>
      </w:r>
      <w:r>
        <w:softHyphen/>
        <w:t>nita, veni</w:t>
      </w:r>
      <w:r>
        <w:t xml:space="preserve">va fatta rientrare come </w:t>
      </w:r>
      <w:r>
        <w:rPr>
          <w:rStyle w:val="CorpodeltestoCorsivo"/>
        </w:rPr>
        <w:t>caso particolare</w:t>
      </w:r>
      <w:r>
        <w:t xml:space="preserve"> nella teoria </w:t>
      </w:r>
      <w:proofErr w:type="spellStart"/>
      <w:r>
        <w:t>margi-</w:t>
      </w:r>
      <w:proofErr w:type="spellEnd"/>
      <w:r>
        <w:t xml:space="preserve"> </w:t>
      </w:r>
      <w:proofErr w:type="spellStart"/>
      <w:r>
        <w:t>nalista</w:t>
      </w:r>
      <w:proofErr w:type="spellEnd"/>
      <w:r>
        <w:rPr>
          <w:vertAlign w:val="superscript"/>
        </w:rPr>
        <w:footnoteReference w:id="7"/>
      </w:r>
      <w:r>
        <w:t>, la sua rilevanza era comunque limitata a problemi di breve periodo.</w:t>
      </w:r>
    </w:p>
    <w:p w:rsidR="006E30F6" w:rsidRDefault="00ED0A5D">
      <w:pPr>
        <w:pStyle w:val="Corpodeltesto31"/>
        <w:shd w:val="clear" w:color="auto" w:fill="auto"/>
        <w:spacing w:after="180" w:line="211" w:lineRule="exact"/>
        <w:ind w:left="20" w:right="20" w:firstLine="420"/>
        <w:jc w:val="both"/>
      </w:pPr>
      <w:r>
        <w:t xml:space="preserve">È vero che lo stesso </w:t>
      </w:r>
      <w:proofErr w:type="spellStart"/>
      <w:r>
        <w:t>Keynes</w:t>
      </w:r>
      <w:proofErr w:type="spellEnd"/>
      <w:r>
        <w:t xml:space="preserve"> aveva limitato all’ipotesi di breve periodo la sua teoria, ma è anche vero che egli poggi</w:t>
      </w:r>
      <w:r>
        <w:t xml:space="preserve">ava su di essa conclusioni di ben </w:t>
      </w:r>
      <w:proofErr w:type="spellStart"/>
      <w:r>
        <w:t>piti</w:t>
      </w:r>
      <w:proofErr w:type="spellEnd"/>
      <w:r>
        <w:t xml:space="preserve"> ampia portata. Come s’è visto sopra, ne derivava argomentazioni circa la accumulazione del capitale, in coerenza alle quali poteva ad esempio affermare: « Misure per la redistribuzione del reddito in un senso che prob</w:t>
      </w:r>
      <w:r>
        <w:t>abilmente innalzi la propensione al consumo [cioè a favore delle fasce di reddito inferiore] possono dimostrarsi effettivamente favorevoli all’aumen</w:t>
      </w:r>
      <w:r>
        <w:softHyphen/>
        <w:t xml:space="preserve">to del capitale » </w:t>
      </w:r>
      <w:r>
        <w:rPr>
          <w:vertAlign w:val="superscript"/>
        </w:rPr>
        <w:footnoteReference w:id="8"/>
      </w:r>
      <w:r>
        <w:t xml:space="preserve">. Non è un caso che con il « </w:t>
      </w:r>
      <w:r>
        <w:lastRenderedPageBreak/>
        <w:t xml:space="preserve">ridimensionamento » della teoria di </w:t>
      </w:r>
      <w:proofErr w:type="spellStart"/>
      <w:r>
        <w:t>Keynes</w:t>
      </w:r>
      <w:proofErr w:type="spellEnd"/>
      <w:r>
        <w:t xml:space="preserve"> si venisse a tog</w:t>
      </w:r>
      <w:r>
        <w:t>liere la base proprio ad affermazioni come questa.</w:t>
      </w:r>
    </w:p>
    <w:p w:rsidR="006E30F6" w:rsidRDefault="00ED0A5D">
      <w:pPr>
        <w:pStyle w:val="Corpodeltesto31"/>
        <w:numPr>
          <w:ilvl w:val="0"/>
          <w:numId w:val="2"/>
        </w:numPr>
        <w:shd w:val="clear" w:color="auto" w:fill="auto"/>
        <w:tabs>
          <w:tab w:val="left" w:pos="769"/>
        </w:tabs>
        <w:spacing w:after="0" w:line="211" w:lineRule="exact"/>
        <w:ind w:left="20" w:right="40" w:firstLine="420"/>
        <w:jc w:val="both"/>
      </w:pPr>
      <w:r>
        <w:t xml:space="preserve">In conclusione, si può dire che la ricerca e la discussione su questi problemi possono non condurre solo a ricavare qualche ovvietà sul fatto che </w:t>
      </w:r>
      <w:proofErr w:type="spellStart"/>
      <w:r>
        <w:t>Keynes</w:t>
      </w:r>
      <w:proofErr w:type="spellEnd"/>
      <w:r>
        <w:t xml:space="preserve"> fosse « dalla parte della borghesia »</w:t>
      </w:r>
    </w:p>
    <w:p w:rsidR="006E30F6" w:rsidRDefault="00ED0A5D">
      <w:pPr>
        <w:pStyle w:val="Corpodeltesto31"/>
        <w:numPr>
          <w:ilvl w:val="0"/>
          <w:numId w:val="4"/>
        </w:numPr>
        <w:shd w:val="clear" w:color="auto" w:fill="auto"/>
        <w:tabs>
          <w:tab w:val="left" w:pos="207"/>
        </w:tabs>
        <w:spacing w:after="0" w:line="211" w:lineRule="exact"/>
        <w:ind w:left="20" w:right="40"/>
        <w:jc w:val="both"/>
      </w:pPr>
      <w:r>
        <w:t xml:space="preserve">sul « </w:t>
      </w:r>
      <w:r>
        <w:t>carattere di classe delle sue concezioni » (credendo magari di essere portatori per definizione di un punto di vista alterna</w:t>
      </w:r>
      <w:r>
        <w:softHyphen/>
        <w:t xml:space="preserve">tivo di classe </w:t>
      </w:r>
      <w:r>
        <w:rPr>
          <w:vertAlign w:val="superscript"/>
        </w:rPr>
        <w:footnoteReference w:id="9"/>
      </w:r>
      <w:r>
        <w:t>), ma che esse servano ad approfondire gli aspetti di critica verso la teoria (ed ideologia) dominanti, che nel pen</w:t>
      </w:r>
      <w:r>
        <w:t xml:space="preserve">siero di </w:t>
      </w:r>
      <w:proofErr w:type="spellStart"/>
      <w:r>
        <w:t>Keynes</w:t>
      </w:r>
      <w:proofErr w:type="spellEnd"/>
      <w:r>
        <w:t xml:space="preserve"> vi sono, ed a capire se e quale contributo in positivo venga da esso. Ciò è particolarmente importante nella situazione teorica in cui ci troviamo.</w:t>
      </w:r>
    </w:p>
    <w:p w:rsidR="006E30F6" w:rsidRDefault="00ED0A5D">
      <w:pPr>
        <w:pStyle w:val="Corpodeltesto31"/>
        <w:shd w:val="clear" w:color="auto" w:fill="auto"/>
        <w:spacing w:after="0" w:line="216" w:lineRule="exact"/>
        <w:ind w:left="20" w:right="40" w:firstLine="420"/>
        <w:jc w:val="both"/>
      </w:pPr>
      <w:r>
        <w:t>Da una parte infatti la teoria marginalista della distribuzione e del valore, dopo essere st</w:t>
      </w:r>
      <w:r>
        <w:t xml:space="preserve">ata per molto tempo largamente egemone, è oggi, grazie ai lavori di </w:t>
      </w:r>
      <w:proofErr w:type="spellStart"/>
      <w:r>
        <w:t>Sraffa</w:t>
      </w:r>
      <w:proofErr w:type="spellEnd"/>
      <w:r>
        <w:t xml:space="preserve"> e </w:t>
      </w:r>
      <w:proofErr w:type="spellStart"/>
      <w:r>
        <w:t>Garegnani</w:t>
      </w:r>
      <w:proofErr w:type="spellEnd"/>
      <w:r>
        <w:rPr>
          <w:vertAlign w:val="superscript"/>
        </w:rPr>
        <w:footnoteReference w:id="10"/>
      </w:r>
      <w:r>
        <w:t>, messa in discussione fin dalle fondamenta. A ciò si tenta di rispondere isterilendosi in costruzioni formali che sono in generale delle fughe dai problemi e comunque n</w:t>
      </w:r>
      <w:r>
        <w:t>on riescono a nascondere la profondità della crisi.</w:t>
      </w:r>
    </w:p>
    <w:p w:rsidR="006E30F6" w:rsidRDefault="00ED0A5D">
      <w:pPr>
        <w:pStyle w:val="Corpodeltesto31"/>
        <w:shd w:val="clear" w:color="auto" w:fill="auto"/>
        <w:spacing w:after="0" w:line="216" w:lineRule="exact"/>
        <w:ind w:left="20" w:right="40" w:firstLine="420"/>
        <w:jc w:val="both"/>
      </w:pPr>
      <w:r>
        <w:t>Dall’altra parte, si trova in quei lavori una linea alternativa di pensiero che, rifacendosi alla teoria del valore e della distri</w:t>
      </w:r>
      <w:r>
        <w:softHyphen/>
        <w:t xml:space="preserve">buzione di Ricardo e di </w:t>
      </w:r>
      <w:proofErr w:type="spellStart"/>
      <w:r>
        <w:t>Marx</w:t>
      </w:r>
      <w:proofErr w:type="spellEnd"/>
      <w:r>
        <w:t>, ci fornisce una analisi coerente della rela</w:t>
      </w:r>
      <w:r>
        <w:t xml:space="preserve">zione tra salario, profitto e prezzi relativi delle merci, risolvendo i problemi logici che su questo terreno anche </w:t>
      </w:r>
      <w:proofErr w:type="spellStart"/>
      <w:r>
        <w:t>Marx</w:t>
      </w:r>
      <w:proofErr w:type="spellEnd"/>
      <w:r>
        <w:t xml:space="preserve"> aveva lasciato aperti.</w:t>
      </w:r>
    </w:p>
    <w:p w:rsidR="006E30F6" w:rsidRDefault="00ED0A5D">
      <w:pPr>
        <w:pStyle w:val="Corpodeltesto31"/>
        <w:shd w:val="clear" w:color="auto" w:fill="auto"/>
        <w:spacing w:after="0" w:line="211" w:lineRule="exact"/>
        <w:ind w:left="20" w:right="40" w:firstLine="420"/>
        <w:jc w:val="both"/>
      </w:pPr>
      <w:r>
        <w:t xml:space="preserve">È proprio alla luce </w:t>
      </w:r>
      <w:r>
        <w:rPr>
          <w:rStyle w:val="CorpodeltestoCorsivo"/>
        </w:rPr>
        <w:t>e</w:t>
      </w:r>
      <w:r>
        <w:t xml:space="preserve"> della soluzione a questi problemi, </w:t>
      </w:r>
      <w:r>
        <w:rPr>
          <w:rStyle w:val="CorpodeltestoCorsivo"/>
        </w:rPr>
        <w:t xml:space="preserve">e </w:t>
      </w:r>
      <w:r>
        <w:t>della critica alla teoria marginalista che va discuss</w:t>
      </w:r>
      <w:r>
        <w:t xml:space="preserve">a la possibilità di dare coerenza alla parte del pensiero di </w:t>
      </w:r>
      <w:proofErr w:type="spellStart"/>
      <w:r>
        <w:t>Keynes</w:t>
      </w:r>
      <w:proofErr w:type="spellEnd"/>
      <w:r>
        <w:t xml:space="preserve"> che si distacca radicalmente dal marginalismo. Cosi ad esso si può fare riferi</w:t>
      </w:r>
      <w:r>
        <w:softHyphen/>
        <w:t>mento quando si voglia costruire una teoria che spieghi cosa regoli</w:t>
      </w:r>
    </w:p>
    <w:p w:rsidR="006E30F6" w:rsidRDefault="00ED0A5D">
      <w:pPr>
        <w:pStyle w:val="Corpodeltesto31"/>
        <w:numPr>
          <w:ilvl w:val="0"/>
          <w:numId w:val="4"/>
        </w:numPr>
        <w:shd w:val="clear" w:color="auto" w:fill="auto"/>
        <w:tabs>
          <w:tab w:val="left" w:pos="159"/>
        </w:tabs>
        <w:spacing w:after="0" w:line="211" w:lineRule="exact"/>
        <w:ind w:left="20"/>
        <w:jc w:val="both"/>
      </w:pPr>
      <w:r>
        <w:t>livelli dell’attività produttiva, o una t</w:t>
      </w:r>
      <w:r>
        <w:t>eoria che spieghi l’altezza del saggio di salario e del saggio di profitto, se si supponga che il salario non sia regolato in ultima analisi dalla sussistenza del lavoratore, e si tenga presente il ruolo che svolgono, nella distri</w:t>
      </w:r>
      <w:r>
        <w:softHyphen/>
        <w:t>buzione del reddito, da u</w:t>
      </w:r>
      <w:r>
        <w:t xml:space="preserve">n lato i sindacati dei lavoratori e dall’altro le autorità monetarie </w:t>
      </w:r>
      <w:r>
        <w:rPr>
          <w:vertAlign w:val="superscript"/>
        </w:rPr>
        <w:footnoteReference w:id="11"/>
      </w:r>
      <w:r>
        <w:t>.</w:t>
      </w:r>
    </w:p>
    <w:p w:rsidR="006E30F6" w:rsidRDefault="00ED0A5D">
      <w:pPr>
        <w:pStyle w:val="Corpodeltesto70"/>
        <w:shd w:val="clear" w:color="auto" w:fill="auto"/>
        <w:spacing w:line="290" w:lineRule="exact"/>
        <w:ind w:left="3660"/>
        <w:sectPr w:rsidR="006E30F6">
          <w:headerReference w:type="even" r:id="rId7"/>
          <w:headerReference w:type="default" r:id="rId8"/>
          <w:pgSz w:w="11909" w:h="16834"/>
          <w:pgMar w:top="3207" w:right="2721" w:bottom="2775" w:left="2793" w:header="0" w:footer="3" w:gutter="0"/>
          <w:pgNumType w:start="150"/>
          <w:cols w:space="720"/>
          <w:noEndnote/>
          <w:docGrid w:linePitch="360"/>
        </w:sectPr>
      </w:pPr>
      <w:r>
        <w:t>Giancarlo de Vivo</w:t>
      </w:r>
    </w:p>
    <w:p w:rsidR="006E30F6" w:rsidRDefault="00ED0A5D">
      <w:pPr>
        <w:pStyle w:val="Intestazione20"/>
        <w:keepNext/>
        <w:keepLines/>
        <w:shd w:val="clear" w:color="auto" w:fill="auto"/>
        <w:spacing w:before="0" w:after="2209" w:line="350" w:lineRule="exact"/>
        <w:ind w:right="40"/>
      </w:pPr>
      <w:bookmarkStart w:id="3" w:name="bookmark3"/>
      <w:r>
        <w:lastRenderedPageBreak/>
        <w:t>Risposta a de Vivo</w:t>
      </w:r>
      <w:bookmarkEnd w:id="3"/>
    </w:p>
    <w:p w:rsidR="006E30F6" w:rsidRDefault="00ED0A5D">
      <w:pPr>
        <w:pStyle w:val="Corpodeltesto31"/>
        <w:shd w:val="clear" w:color="auto" w:fill="auto"/>
        <w:spacing w:after="0" w:line="211" w:lineRule="exact"/>
        <w:ind w:left="40" w:right="40" w:firstLine="420"/>
        <w:jc w:val="both"/>
      </w:pPr>
      <w:r>
        <w:t>Che sui temi di ricerca affrontati presso l’istituto Gramsci si intervenga non può che essere considerato un fatto positivo. Sorprende però che nell’intervento sopra riportato, pur essendo p</w:t>
      </w:r>
      <w:r>
        <w:t>resente un giudizio sostanzialmente negativo sulla ricerca intra</w:t>
      </w:r>
      <w:r>
        <w:softHyphen/>
        <w:t>presa, sia assente una discussione dei temi affrontati nella ricerca stessa.</w:t>
      </w:r>
    </w:p>
    <w:p w:rsidR="006E30F6" w:rsidRDefault="00ED0A5D">
      <w:pPr>
        <w:pStyle w:val="Corpodeltesto31"/>
        <w:shd w:val="clear" w:color="auto" w:fill="auto"/>
        <w:spacing w:after="0" w:line="211" w:lineRule="exact"/>
        <w:ind w:left="40" w:right="40" w:firstLine="420"/>
        <w:jc w:val="both"/>
      </w:pPr>
      <w:r>
        <w:t>Come affermato nella introduzione alla relazione</w:t>
      </w:r>
      <w:r>
        <w:rPr>
          <w:vertAlign w:val="superscript"/>
        </w:rPr>
        <w:footnoteReference w:id="12"/>
      </w:r>
      <w:r>
        <w:t>, essa rappresenta una sintesi di contributi diversi su argomenti</w:t>
      </w:r>
      <w:r>
        <w:t xml:space="preserve"> non necessariamente e immediatamente legati tra loro e cerca di tener conto delle posizioni emerse all’interno del gruppo nel corso del lavoro. Anche per queste ragioni la relazione rappresenta un primo contributo, certamente migliorabile e forse di non i</w:t>
      </w:r>
      <w:r>
        <w:t>mme</w:t>
      </w:r>
      <w:r>
        <w:softHyphen/>
        <w:t>diata trasparenza, e che come tale è stato sottoposto alla lettura del pubblico; ma i compiti del gruppo di lavoro, giova ricordarlo, erano quelli di indagare, una volta constatato il fallimento sul piano storico e politico del dirigismo keynesiano, le</w:t>
      </w:r>
      <w:r>
        <w:t xml:space="preserve"> basi teoriche di tale fallimento, argomento di cui la nota riportata sopra non si occupa </w:t>
      </w:r>
      <w:r>
        <w:rPr>
          <w:vertAlign w:val="superscript"/>
        </w:rPr>
        <w:footnoteReference w:id="13"/>
      </w:r>
      <w:r>
        <w:t xml:space="preserve">. Ciononostante riteniamo utile soffermarci sul merito delle obiezioni sollevate dalla nota in questione, e in particolare sull’argomentazione che Giancarlo de Vivo </w:t>
      </w:r>
      <w:r>
        <w:t>pone a base del suo giudizio relativo all’intero contenuto della relazione.</w:t>
      </w:r>
    </w:p>
    <w:p w:rsidR="006E30F6" w:rsidRDefault="00ED0A5D">
      <w:pPr>
        <w:pStyle w:val="Corpodeltesto31"/>
        <w:shd w:val="clear" w:color="auto" w:fill="auto"/>
        <w:spacing w:after="0" w:line="211" w:lineRule="exact"/>
        <w:ind w:left="40" w:right="40"/>
        <w:jc w:val="right"/>
      </w:pPr>
      <w:r>
        <w:t>Nella relazione si afferma che una delle caratteristiche comuni ai filoni in cui si sviluppa il pensiero keynesiano è il contrasto tra</w:t>
      </w:r>
    </w:p>
    <w:p w:rsidR="006E30F6" w:rsidRDefault="00ED0A5D">
      <w:pPr>
        <w:pStyle w:val="Corpodeltesto31"/>
        <w:shd w:val="clear" w:color="auto" w:fill="auto"/>
        <w:spacing w:after="0" w:line="211" w:lineRule="exact"/>
        <w:ind w:left="20" w:right="20"/>
        <w:jc w:val="both"/>
      </w:pPr>
      <w:r>
        <w:t>consumo e accumulazione; tale affermazione vi</w:t>
      </w:r>
      <w:r>
        <w:t xml:space="preserve">ene contestata dall’autore della nota il quale cita in proposito una frase della </w:t>
      </w:r>
      <w:r>
        <w:rPr>
          <w:rStyle w:val="CorpodeltestoCorsivo"/>
        </w:rPr>
        <w:t>Teoria generale</w:t>
      </w:r>
      <w:r>
        <w:t xml:space="preserve"> dove </w:t>
      </w:r>
      <w:proofErr w:type="spellStart"/>
      <w:r>
        <w:t>Keynes</w:t>
      </w:r>
      <w:proofErr w:type="spellEnd"/>
      <w:r>
        <w:t xml:space="preserve"> afferma che in una situazione di non piena occupazione l’accrescimento del capitale viene favo</w:t>
      </w:r>
      <w:r>
        <w:softHyphen/>
        <w:t>rito e non contrastato dall’accrescimento del consum</w:t>
      </w:r>
      <w:r>
        <w:t>o. Intorno a tale argomentazione si possono fare, a nostro avviso, alcune osservazioni.</w:t>
      </w:r>
    </w:p>
    <w:p w:rsidR="006E30F6" w:rsidRDefault="00ED0A5D">
      <w:pPr>
        <w:pStyle w:val="Corpodeltesto31"/>
        <w:shd w:val="clear" w:color="auto" w:fill="auto"/>
        <w:spacing w:after="0" w:line="216" w:lineRule="exact"/>
        <w:ind w:left="20" w:right="20" w:firstLine="420"/>
        <w:jc w:val="both"/>
      </w:pPr>
      <w:r>
        <w:t xml:space="preserve">In primo luogo sembra che G. de Vivo di fatto venga ad identificare il pensiero di </w:t>
      </w:r>
      <w:proofErr w:type="spellStart"/>
      <w:r>
        <w:t>Keynes</w:t>
      </w:r>
      <w:proofErr w:type="spellEnd"/>
      <w:r>
        <w:t xml:space="preserve"> con quello keynesiano, malgrado la sua nota contenga affermazioni in senso </w:t>
      </w:r>
      <w:r>
        <w:t xml:space="preserve">contrario (e, anzi, l’intera argomentazione della nota, peraltro comune ad altri interventi nell’attuale dibattito sul </w:t>
      </w:r>
      <w:proofErr w:type="spellStart"/>
      <w:r>
        <w:t>keynesismo</w:t>
      </w:r>
      <w:proofErr w:type="spellEnd"/>
      <w:r>
        <w:t xml:space="preserve">, si basa sulla necessità di una netta distinzione tra il pensiero di </w:t>
      </w:r>
      <w:proofErr w:type="spellStart"/>
      <w:r>
        <w:t>Keynes</w:t>
      </w:r>
      <w:proofErr w:type="spellEnd"/>
      <w:r>
        <w:t xml:space="preserve"> e quello dei suoi epigoni) e malgrado nella relazi</w:t>
      </w:r>
      <w:r>
        <w:t xml:space="preserve">one si precisi, ci pare chiaramente, come una </w:t>
      </w:r>
      <w:r>
        <w:lastRenderedPageBreak/>
        <w:t>differenziazione esista.</w:t>
      </w:r>
    </w:p>
    <w:p w:rsidR="006E30F6" w:rsidRDefault="00ED0A5D">
      <w:pPr>
        <w:pStyle w:val="Corpodeltesto31"/>
        <w:shd w:val="clear" w:color="auto" w:fill="auto"/>
        <w:spacing w:after="0" w:line="211" w:lineRule="exact"/>
        <w:ind w:left="20" w:right="20" w:firstLine="420"/>
        <w:jc w:val="both"/>
      </w:pPr>
      <w:r>
        <w:t>Non è comunque nostra intenzione respingere l’obiezione sollevata dall’autore dello scritto in questione sulla base di questa argomentazione, e ciò per due ordini di ragioni; in primo l</w:t>
      </w:r>
      <w:r>
        <w:t xml:space="preserve">uogo perché esiste (come già detto in nota) un legame non debole tra il pensiero di </w:t>
      </w:r>
      <w:proofErr w:type="spellStart"/>
      <w:r>
        <w:t>Keynes</w:t>
      </w:r>
      <w:proofErr w:type="spellEnd"/>
      <w:r>
        <w:t xml:space="preserve"> e quello keynesiano e, in secondo luogo, perché una analisi non affrettata di quanto viene affermato in proposito nella relazione (dove, probabilmente, avremmo dovut</w:t>
      </w:r>
      <w:r>
        <w:t>o svolgere un ragionamento più approfondito) permette di arrivare a conclusioni più meditate anche riguardo alla validità delle affer</w:t>
      </w:r>
      <w:r>
        <w:softHyphen/>
        <w:t xml:space="preserve">mazioni dell’autore della </w:t>
      </w:r>
      <w:r>
        <w:rPr>
          <w:rStyle w:val="CorpodeltestoCorsivo"/>
        </w:rPr>
        <w:t>Teoria generale.</w:t>
      </w:r>
      <w:r>
        <w:t xml:space="preserve"> Se è vero che — secondo la </w:t>
      </w:r>
      <w:r>
        <w:rPr>
          <w:rStyle w:val="CorpodeltestoCorsivo"/>
        </w:rPr>
        <w:t>Teoria generale</w:t>
      </w:r>
      <w:r>
        <w:t xml:space="preserve"> — in una situazione di breve periodo</w:t>
      </w:r>
      <w:r>
        <w:t xml:space="preserve"> e di non piena occupazione una carenza di domanda effettiva per consumo limita e non favorisce l’investimento, nel « lungo periodo » ciò diventa discutibile</w:t>
      </w:r>
      <w:r>
        <w:rPr>
          <w:vertAlign w:val="superscript"/>
        </w:rPr>
        <w:footnoteReference w:id="14"/>
      </w:r>
      <w:r>
        <w:t xml:space="preserve"> in quanto, malgrado le affermazioni in propo</w:t>
      </w:r>
      <w:r>
        <w:softHyphen/>
        <w:t>sito di G. de Vivo, nel « lungo periodo » un aumento</w:t>
      </w:r>
      <w:r>
        <w:t xml:space="preserve"> generico e generalizzato del consumo finirebbe per intaccare, all’interno del mercato capitalistico, la possibilità di formazione di ricchezza addizionale. Per </w:t>
      </w:r>
      <w:proofErr w:type="spellStart"/>
      <w:r>
        <w:t>Keynes</w:t>
      </w:r>
      <w:proofErr w:type="spellEnd"/>
      <w:r>
        <w:t xml:space="preserve"> l’investimento era importante soprat</w:t>
      </w:r>
      <w:r>
        <w:softHyphen/>
        <w:t>tutto come componente della domanda effettiva e que</w:t>
      </w:r>
      <w:r>
        <w:t>sto per</w:t>
      </w:r>
      <w:r>
        <w:softHyphen/>
        <w:t xml:space="preserve">ché, appunto, la </w:t>
      </w:r>
      <w:r>
        <w:rPr>
          <w:rStyle w:val="CorpodeltestoCorsivo"/>
        </w:rPr>
        <w:t>Teoria generale</w:t>
      </w:r>
      <w:r>
        <w:t xml:space="preserve"> si occupa di una situazione specifica quale quella di breve periodo</w:t>
      </w:r>
      <w:r>
        <w:rPr>
          <w:vertAlign w:val="superscript"/>
        </w:rPr>
        <w:footnoteReference w:id="15"/>
      </w:r>
      <w:r>
        <w:t>. Abbandonando questa limitazione, affrontando cioè il problema della accumulazione e quindi della formazione di nuova ricchezza</w:t>
      </w:r>
      <w:r>
        <w:rPr>
          <w:vertAlign w:val="superscript"/>
        </w:rPr>
        <w:t>5</w:t>
      </w:r>
      <w:r>
        <w:t xml:space="preserve">, la </w:t>
      </w:r>
      <w:r>
        <w:rPr>
          <w:rStyle w:val="CorpodeltestoCorsivo"/>
        </w:rPr>
        <w:t xml:space="preserve">Teoria generale </w:t>
      </w:r>
      <w:r>
        <w:t xml:space="preserve">non è più in grado di dirci molto e lo stesso </w:t>
      </w:r>
      <w:proofErr w:type="spellStart"/>
      <w:r>
        <w:t>Keynes</w:t>
      </w:r>
      <w:proofErr w:type="spellEnd"/>
      <w:r>
        <w:t xml:space="preserve"> pone in termini dubitativi (come mostrano le sue frasi riportate da Giancarlo de Vivo) l’affermazione relativa alla necessità di incrementare il consumo al fine di sostenere la formazione</w:t>
      </w:r>
      <w:r>
        <w:t xml:space="preserve"> di capitale. Come non è vero che il risparmio si trasforma automaticamente in investi</w:t>
      </w:r>
      <w:r>
        <w:softHyphen/>
        <w:t>mento, cosi non è altrettanto vero che l’investimento crea automa</w:t>
      </w:r>
      <w:r>
        <w:softHyphen/>
        <w:t>ticamente il risparmio ad esso necessario; ne segue che, nel « lungo periodo » la disponibilità di risp</w:t>
      </w:r>
      <w:r>
        <w:t xml:space="preserve">armio (cioè di ricchezza sottratta al consumo) </w:t>
      </w:r>
      <w:r>
        <w:rPr>
          <w:rStyle w:val="CorpodeltestoCorsivo"/>
        </w:rPr>
        <w:t>diventa rilevante</w:t>
      </w:r>
      <w:r>
        <w:t xml:space="preserve"> al fine delle possibilità di crescita del sistema economico che finisce quindi per essere subordinata alla crescita del consumo e </w:t>
      </w:r>
      <w:r>
        <w:rPr>
          <w:rStyle w:val="CorpodeltestoCorsivo"/>
        </w:rPr>
        <w:t>viceversa</w:t>
      </w:r>
      <w:r>
        <w:rPr>
          <w:vertAlign w:val="superscript"/>
        </w:rPr>
        <w:t>6</w:t>
      </w:r>
      <w:r>
        <w:t>.</w:t>
      </w:r>
    </w:p>
    <w:p w:rsidR="006E30F6" w:rsidRDefault="00ED0A5D">
      <w:pPr>
        <w:pStyle w:val="Corpodeltesto31"/>
        <w:shd w:val="clear" w:color="auto" w:fill="auto"/>
        <w:spacing w:after="0" w:line="216" w:lineRule="exact"/>
        <w:ind w:left="20" w:right="20" w:firstLine="380"/>
        <w:jc w:val="both"/>
      </w:pPr>
      <w:r>
        <w:t>Ma oltre ad essere rilevante da un punto di vista</w:t>
      </w:r>
      <w:r>
        <w:t xml:space="preserve"> teorico, tale situazione ha assunto uno spessore (assai più rilevante) come problema concreto quando la spinta della classe operaia in antagonismo al sistema capitalistico, oggettivamente alimentata dalla politica economica keynesiana, anche di carattere </w:t>
      </w:r>
      <w:r>
        <w:t>redistri</w:t>
      </w:r>
      <w:r>
        <w:softHyphen/>
        <w:t>butivo, ha finito col porre in crisi il meccanismo di accumulazione capitalistico concretatosi in questo dopoguerra. Tale dato storico ha quindi posto in luce una contraddizione che non può non trovare le sue radici nelle basi teoriche di tale pol</w:t>
      </w:r>
      <w:r>
        <w:t xml:space="preserve">itica economica, contraddizione che quindi è sottostante anche a frasi come quelle di </w:t>
      </w:r>
      <w:proofErr w:type="spellStart"/>
      <w:r>
        <w:t>Keynes</w:t>
      </w:r>
      <w:proofErr w:type="spellEnd"/>
      <w:r>
        <w:t xml:space="preserve"> (riportate da de Vivo), secondo cui un aumento del consumo può dimostrarsi favorevole all’aumento del capitale.</w:t>
      </w:r>
    </w:p>
    <w:p w:rsidR="006E30F6" w:rsidRDefault="00ED0A5D">
      <w:pPr>
        <w:pStyle w:val="Corpodeltesto31"/>
        <w:shd w:val="clear" w:color="auto" w:fill="auto"/>
        <w:spacing w:after="166" w:line="226" w:lineRule="exact"/>
        <w:ind w:left="20" w:right="20" w:firstLine="380"/>
        <w:jc w:val="both"/>
      </w:pPr>
      <w:r>
        <w:t xml:space="preserve">In secondo luogo, in </w:t>
      </w:r>
      <w:proofErr w:type="spellStart"/>
      <w:r>
        <w:t>Keynes</w:t>
      </w:r>
      <w:proofErr w:type="spellEnd"/>
      <w:r>
        <w:t xml:space="preserve"> come nei keynesiani (e </w:t>
      </w:r>
      <w:r>
        <w:t>nei neoclassici) esiste una separazione tra decisioni di consumo e di</w:t>
      </w:r>
    </w:p>
    <w:p w:rsidR="006E30F6" w:rsidRDefault="00ED0A5D">
      <w:pPr>
        <w:pStyle w:val="Corpodeltesto60"/>
        <w:shd w:val="clear" w:color="auto" w:fill="auto"/>
        <w:spacing w:before="0"/>
        <w:ind w:left="20" w:right="20"/>
      </w:pPr>
      <w:r>
        <w:t xml:space="preserve">ignorasse i problemi di « lungo periodo » perché allora « siamo tutti morti », sembrerebbe quasi </w:t>
      </w:r>
      <w:r>
        <w:lastRenderedPageBreak/>
        <w:t xml:space="preserve">un modo di sostenere, da parte dell’economista inglese, che i problemi relativi a quelle </w:t>
      </w:r>
      <w:r>
        <w:t xml:space="preserve">che </w:t>
      </w:r>
      <w:proofErr w:type="spellStart"/>
      <w:r>
        <w:t>Marx</w:t>
      </w:r>
      <w:proofErr w:type="spellEnd"/>
      <w:r>
        <w:t xml:space="preserve"> chiamerebbe le « leggi di movi</w:t>
      </w:r>
      <w:r>
        <w:softHyphen/>
        <w:t>mento del capitalismo » non sono problemi di cui l’economia si deve occupare.</w:t>
      </w:r>
    </w:p>
    <w:p w:rsidR="006E30F6" w:rsidRDefault="00ED0A5D">
      <w:pPr>
        <w:pStyle w:val="Corpodeltesto60"/>
        <w:numPr>
          <w:ilvl w:val="0"/>
          <w:numId w:val="3"/>
        </w:numPr>
        <w:shd w:val="clear" w:color="auto" w:fill="auto"/>
        <w:tabs>
          <w:tab w:val="left" w:pos="510"/>
        </w:tabs>
        <w:spacing w:before="0"/>
        <w:ind w:left="20" w:right="20" w:firstLine="380"/>
      </w:pPr>
      <w:r>
        <w:t>In una logica cioè in cui viene perlomeno messa in discussione la possibilità di distinguere tra breve e lungo periodo, e nella quale vien</w:t>
      </w:r>
      <w:r>
        <w:t>e ad essere indifferente, ai fini del problema in questione, il fatto di trovarsi o no in piena occupazione, a meno di non supporre di trovarsi continua- mente in una situazione di concorrenza perfetta. In caso contrario, infatti, cioè in presenza di forma</w:t>
      </w:r>
      <w:r>
        <w:t xml:space="preserve">zioni monopolistiche, un aumento della domanda si tramuterebbe </w:t>
      </w:r>
      <w:r>
        <w:rPr>
          <w:rStyle w:val="Corpodeltesto6Corsivo"/>
        </w:rPr>
        <w:t>in parte</w:t>
      </w:r>
      <w:r>
        <w:t xml:space="preserve"> in accresciuta produzione (inducendo cosi nuovi investimenti) ma in parte anche in aumenti di prezzi.</w:t>
      </w:r>
    </w:p>
    <w:p w:rsidR="006E30F6" w:rsidRDefault="00ED0A5D">
      <w:pPr>
        <w:pStyle w:val="Corpodeltesto60"/>
        <w:numPr>
          <w:ilvl w:val="0"/>
          <w:numId w:val="3"/>
        </w:numPr>
        <w:shd w:val="clear" w:color="auto" w:fill="auto"/>
        <w:tabs>
          <w:tab w:val="left" w:pos="500"/>
        </w:tabs>
        <w:spacing w:before="0"/>
        <w:ind w:left="20" w:right="20" w:firstLine="380"/>
      </w:pPr>
      <w:r>
        <w:t xml:space="preserve">Tale argomentazione assume poi spessore diverso in situazioni, come quella </w:t>
      </w:r>
      <w:r>
        <w:t>attuale, nelle quali a un eccesso di capacità produttiva si contrap</w:t>
      </w:r>
      <w:r>
        <w:softHyphen/>
        <w:t>pone la necessità di avviare un intenso processo di formazione di nuo</w:t>
      </w:r>
      <w:r>
        <w:softHyphen/>
        <w:t xml:space="preserve">ve risorse. Tale apparente contraddizione è spiegata nel senso che la capacità produttiva esistente è </w:t>
      </w:r>
      <w:r>
        <w:rPr>
          <w:rStyle w:val="Corpodeltesto6Corsivo"/>
        </w:rPr>
        <w:t>qualitativamente</w:t>
      </w:r>
      <w:r>
        <w:t xml:space="preserve"> inadeguata alle nuove esi</w:t>
      </w:r>
      <w:r>
        <w:softHyphen/>
        <w:t>genze di sviluppo. In una situazione simile, che si potrebbe definire di « tran</w:t>
      </w:r>
      <w:r>
        <w:softHyphen/>
        <w:t>sizione * da un tipo di sviluppo ad un altro, la logica keynesiana appare del tutto impotente a dare soluzioni.</w:t>
      </w:r>
    </w:p>
    <w:p w:rsidR="006E30F6" w:rsidRDefault="00ED0A5D">
      <w:pPr>
        <w:pStyle w:val="Corpodeltesto31"/>
        <w:shd w:val="clear" w:color="auto" w:fill="auto"/>
        <w:spacing w:after="0" w:line="211" w:lineRule="exact"/>
        <w:ind w:left="20" w:right="20"/>
        <w:jc w:val="both"/>
      </w:pPr>
      <w:r>
        <w:t>investimento, le quali sono, inoltre,</w:t>
      </w:r>
      <w:r>
        <w:t xml:space="preserve"> decisioni di carattere indivi</w:t>
      </w:r>
      <w:r>
        <w:softHyphen/>
        <w:t>duale. Viene colto in ciò da tali filoni di pensiero un aspetto tipico del mercato capitalistico ma che viene da essi considerato come legge oggettiva dell’economia. Sullo stesso piano di questa argo</w:t>
      </w:r>
      <w:r>
        <w:softHyphen/>
        <w:t>mentazione ci pare si pos</w:t>
      </w:r>
      <w:r>
        <w:t xml:space="preserve">sa collocare l’affermazione di Giancarlo de Vivo secondo la quale il fatto che « in piena occupazione vi sia </w:t>
      </w:r>
      <w:proofErr w:type="spellStart"/>
      <w:r>
        <w:t>alternatività</w:t>
      </w:r>
      <w:proofErr w:type="spellEnd"/>
      <w:r>
        <w:t xml:space="preserve"> tra aumentare il consumo ed aumentare l’investi</w:t>
      </w:r>
      <w:r>
        <w:softHyphen/>
        <w:t>mento è vero indipendentemente dalla teoria che uno creda di condividere ». Tale affe</w:t>
      </w:r>
      <w:r>
        <w:t>rmazione può essere accettata solo da chi crede (come i neoclassici) che le leggi del capitalismo siano leggi « naturali ».</w:t>
      </w:r>
    </w:p>
    <w:p w:rsidR="006E30F6" w:rsidRDefault="00ED0A5D">
      <w:pPr>
        <w:pStyle w:val="Corpodeltesto31"/>
        <w:shd w:val="clear" w:color="auto" w:fill="auto"/>
        <w:spacing w:after="0" w:line="211" w:lineRule="exact"/>
        <w:ind w:left="20" w:right="20" w:firstLine="420"/>
        <w:jc w:val="both"/>
      </w:pPr>
      <w:proofErr w:type="spellStart"/>
      <w:r>
        <w:t>Val</w:t>
      </w:r>
      <w:proofErr w:type="spellEnd"/>
      <w:r>
        <w:t xml:space="preserve"> la pena qui di ricordare l’esempio di </w:t>
      </w:r>
      <w:proofErr w:type="spellStart"/>
      <w:r>
        <w:t>Marx</w:t>
      </w:r>
      <w:proofErr w:type="spellEnd"/>
      <w:r>
        <w:t>, il quale non distingueva, descrivendo il funzionamento dell’economia capita</w:t>
      </w:r>
      <w:r>
        <w:softHyphen/>
        <w:t>lista, t</w:t>
      </w:r>
      <w:r>
        <w:t xml:space="preserve">ra consumo e investimento, ma tra consumo produttivo e consumo improduttivo. Non a caso </w:t>
      </w:r>
      <w:proofErr w:type="spellStart"/>
      <w:r>
        <w:t>Marx</w:t>
      </w:r>
      <w:proofErr w:type="spellEnd"/>
      <w:r>
        <w:t xml:space="preserve"> riteneva necessario uno studio delle leggi del capitalismo per individuare la strada per il suo superamento, mentre l’intento di </w:t>
      </w:r>
      <w:proofErr w:type="spellStart"/>
      <w:r>
        <w:t>Keynes</w:t>
      </w:r>
      <w:proofErr w:type="spellEnd"/>
      <w:r>
        <w:t xml:space="preserve"> era quello di indivi</w:t>
      </w:r>
      <w:r>
        <w:softHyphen/>
        <w:t xml:space="preserve">duare </w:t>
      </w:r>
      <w:r>
        <w:t xml:space="preserve">i difetti del mercato capitalistico onde farlo funzionare meglio. Non a caso da </w:t>
      </w:r>
      <w:proofErr w:type="spellStart"/>
      <w:r>
        <w:t>Keynes</w:t>
      </w:r>
      <w:proofErr w:type="spellEnd"/>
      <w:r>
        <w:t xml:space="preserve"> sono derivate indicazioni di politica economica che non riescono a trovare respiro altro che all’interno di una logica di conservazione del capitalismo (ed è per questo </w:t>
      </w:r>
      <w:r>
        <w:t>che incontrano oggi i loro limiti storici)</w:t>
      </w:r>
      <w:r>
        <w:rPr>
          <w:vertAlign w:val="superscript"/>
        </w:rPr>
        <w:footnoteReference w:id="16"/>
      </w:r>
      <w:r>
        <w:t xml:space="preserve">, mentre nella lezione di </w:t>
      </w:r>
      <w:proofErr w:type="spellStart"/>
      <w:r>
        <w:t>Marx</w:t>
      </w:r>
      <w:proofErr w:type="spellEnd"/>
      <w:r>
        <w:t xml:space="preserve"> si trovano indicazioni per una azione che trasformi l’econo</w:t>
      </w:r>
      <w:r>
        <w:softHyphen/>
        <w:t>mia capitalistica in un sistema diverso, realmente omogeneo agli interessi delle masse lavoratrici.</w:t>
      </w:r>
    </w:p>
    <w:p w:rsidR="006E30F6" w:rsidRDefault="00ED0A5D">
      <w:pPr>
        <w:pStyle w:val="Corpodeltesto31"/>
        <w:shd w:val="clear" w:color="auto" w:fill="auto"/>
        <w:spacing w:after="0" w:line="211" w:lineRule="exact"/>
        <w:ind w:left="20" w:right="20" w:firstLine="420"/>
        <w:jc w:val="both"/>
      </w:pPr>
      <w:r>
        <w:t>Giancarlo de Vivo conc</w:t>
      </w:r>
      <w:r>
        <w:t xml:space="preserve">lude il suo intervento proponendo come tema di ricerca lo sforzo, già in corso nell’attuale dibattito in teoria economica, « di dare coerenza alla parte del pensiero di </w:t>
      </w:r>
      <w:proofErr w:type="spellStart"/>
      <w:r>
        <w:t>Keynes</w:t>
      </w:r>
      <w:proofErr w:type="spellEnd"/>
      <w:r>
        <w:t xml:space="preserve"> che si distacca radicalmente dal marginalismo ». Ora a questo proposito occorre,</w:t>
      </w:r>
      <w:r>
        <w:t xml:space="preserve"> a nostro avviso, usare una cautela maggiore di quanto non sembra suggerire de Vivo. Se è una cosa « ovvia » il fatto che </w:t>
      </w:r>
      <w:proofErr w:type="spellStart"/>
      <w:r>
        <w:t>Keynes</w:t>
      </w:r>
      <w:proofErr w:type="spellEnd"/>
      <w:r>
        <w:t xml:space="preserve"> si sia posto come intento princi</w:t>
      </w:r>
      <w:r>
        <w:softHyphen/>
        <w:t>pale quello di salvare il capitalismo, che, insomma, la proposta dell’economista inglese avess</w:t>
      </w:r>
      <w:r>
        <w:t>e una caratteristica di conservazione (sia pur improntata al mantenimento e non alla soppressione della democrazia), ci si dovrebbe chiedere se la sua visione del sistema economico non risentisse profondamente di questo fatto. La conser</w:t>
      </w:r>
      <w:r>
        <w:softHyphen/>
        <w:t>vazione del « mondo</w:t>
      </w:r>
      <w:r>
        <w:t xml:space="preserve"> in cui viviamo » era da lui auspicata in quanto egli considerava il capitalismo come il migliore dei mondi possibili. </w:t>
      </w:r>
      <w:proofErr w:type="spellStart"/>
      <w:r>
        <w:t>Val</w:t>
      </w:r>
      <w:proofErr w:type="spellEnd"/>
      <w:r>
        <w:t xml:space="preserve"> la pena di ricordare che per </w:t>
      </w:r>
      <w:proofErr w:type="spellStart"/>
      <w:r>
        <w:t>Keynes</w:t>
      </w:r>
      <w:proofErr w:type="spellEnd"/>
      <w:r>
        <w:t xml:space="preserve"> (come per Ì neoclassici) il problema dell’economia era quello di una rela</w:t>
      </w:r>
      <w:r>
        <w:softHyphen/>
      </w:r>
      <w:r>
        <w:rPr>
          <w:rStyle w:val="Corpodeltesto1"/>
        </w:rPr>
        <w:t>zione lineare (cioè con</w:t>
      </w:r>
      <w:r>
        <w:rPr>
          <w:rStyle w:val="Corpodeltesto1"/>
        </w:rPr>
        <w:t xml:space="preserve"> un punto di « partenza » e uno di « arrivo ») tra mezzi e fini, che insomma l’attività economica era « naturalmente » tesa alla soddisfazione dei bisogni. È </w:t>
      </w:r>
      <w:r>
        <w:rPr>
          <w:rStyle w:val="Corpodeltesto1"/>
        </w:rPr>
        <w:lastRenderedPageBreak/>
        <w:t xml:space="preserve">utile a questo proposito la lettura dell’ultimo capitolo della </w:t>
      </w:r>
      <w:r>
        <w:rPr>
          <w:rStyle w:val="CorpodeltestoCorsivo0"/>
        </w:rPr>
        <w:t>Teoria generale,</w:t>
      </w:r>
      <w:r>
        <w:rPr>
          <w:rStyle w:val="Corpodeltesto1"/>
        </w:rPr>
        <w:t xml:space="preserve"> in cui </w:t>
      </w:r>
      <w:proofErr w:type="spellStart"/>
      <w:r>
        <w:rPr>
          <w:rStyle w:val="Corpodeltesto1"/>
        </w:rPr>
        <w:t>Keynes</w:t>
      </w:r>
      <w:proofErr w:type="spellEnd"/>
      <w:r>
        <w:rPr>
          <w:rStyle w:val="Corpodeltesto1"/>
        </w:rPr>
        <w:t xml:space="preserve"> affe</w:t>
      </w:r>
      <w:r>
        <w:rPr>
          <w:rStyle w:val="Corpodeltesto1"/>
        </w:rPr>
        <w:t>rma chiaramente come una volta raggiunta la piena occupazione il mercato avrebbe ripreso a fun</w:t>
      </w:r>
      <w:r>
        <w:rPr>
          <w:rStyle w:val="Corpodeltesto1"/>
        </w:rPr>
        <w:softHyphen/>
        <w:t>zionare secondo i meccanismi descritti dai neoclassici. Ciò signi</w:t>
      </w:r>
      <w:r>
        <w:rPr>
          <w:rStyle w:val="Corpodeltesto1"/>
        </w:rPr>
        <w:softHyphen/>
        <w:t xml:space="preserve">fica, ci sembra, che la visione dell’economia capitalista propria di </w:t>
      </w:r>
      <w:proofErr w:type="spellStart"/>
      <w:r>
        <w:rPr>
          <w:rStyle w:val="Corpodeltesto1"/>
        </w:rPr>
        <w:t>Keynes</w:t>
      </w:r>
      <w:proofErr w:type="spellEnd"/>
      <w:r>
        <w:rPr>
          <w:rStyle w:val="Corpodeltesto1"/>
        </w:rPr>
        <w:t xml:space="preserve"> (e di molti keynesi</w:t>
      </w:r>
      <w:r>
        <w:rPr>
          <w:rStyle w:val="Corpodeltesto1"/>
        </w:rPr>
        <w:t>ani) offre un’immagine del capita</w:t>
      </w:r>
      <w:r>
        <w:rPr>
          <w:rStyle w:val="Corpodeltesto1"/>
        </w:rPr>
        <w:softHyphen/>
        <w:t>lismo sostanzialmente priva di contraddizioni.</w:t>
      </w:r>
    </w:p>
    <w:p w:rsidR="006E30F6" w:rsidRDefault="00ED0A5D">
      <w:pPr>
        <w:pStyle w:val="Corpodeltesto31"/>
        <w:shd w:val="clear" w:color="auto" w:fill="auto"/>
        <w:spacing w:after="0" w:line="211" w:lineRule="exact"/>
        <w:ind w:left="20" w:right="40" w:firstLine="400"/>
        <w:jc w:val="both"/>
      </w:pPr>
      <w:r>
        <w:rPr>
          <w:rStyle w:val="Corpodeltesto1"/>
        </w:rPr>
        <w:t xml:space="preserve">Ora, l’utilizzo di categorie economiche (e, </w:t>
      </w:r>
      <w:r>
        <w:rPr>
          <w:rStyle w:val="CorpodeltestoCorsivo0"/>
        </w:rPr>
        <w:t>a fortiori,</w:t>
      </w:r>
      <w:r>
        <w:rPr>
          <w:rStyle w:val="Corpodeltesto1"/>
        </w:rPr>
        <w:t xml:space="preserve"> di parti di un </w:t>
      </w:r>
      <w:r>
        <w:rPr>
          <w:rStyle w:val="CorpodeltestoCorsivo0"/>
        </w:rPr>
        <w:t>corpus</w:t>
      </w:r>
      <w:r>
        <w:rPr>
          <w:rStyle w:val="Corpodeltesto1"/>
        </w:rPr>
        <w:t xml:space="preserve"> teorico) proprie del pensiero di </w:t>
      </w:r>
      <w:proofErr w:type="spellStart"/>
      <w:r>
        <w:rPr>
          <w:rStyle w:val="Corpodeltesto1"/>
        </w:rPr>
        <w:t>Keynes</w:t>
      </w:r>
      <w:proofErr w:type="spellEnd"/>
      <w:r>
        <w:rPr>
          <w:rStyle w:val="Corpodeltesto1"/>
        </w:rPr>
        <w:t xml:space="preserve"> al fine di costruire una teoria che fornisca una descrizi</w:t>
      </w:r>
      <w:r>
        <w:rPr>
          <w:rStyle w:val="Corpodeltesto1"/>
        </w:rPr>
        <w:t>one non apolo</w:t>
      </w:r>
      <w:r>
        <w:rPr>
          <w:rStyle w:val="Corpodeltesto1"/>
        </w:rPr>
        <w:softHyphen/>
        <w:t>getica del capitalismo (in quanto meccanismo intimamente con</w:t>
      </w:r>
      <w:r>
        <w:rPr>
          <w:rStyle w:val="Corpodeltesto1"/>
        </w:rPr>
        <w:softHyphen/>
        <w:t xml:space="preserve">traddittorio) può essere « viziato » dal fatto che esse hanno trovato posto all’interno di una concezione del capitalismo quale quella di </w:t>
      </w:r>
      <w:proofErr w:type="spellStart"/>
      <w:r>
        <w:rPr>
          <w:rStyle w:val="Corpodeltesto1"/>
        </w:rPr>
        <w:t>Keynes</w:t>
      </w:r>
      <w:proofErr w:type="spellEnd"/>
      <w:r>
        <w:rPr>
          <w:rStyle w:val="Corpodeltesto1"/>
        </w:rPr>
        <w:t xml:space="preserve">. Intendiamo subito chiarire che con </w:t>
      </w:r>
      <w:r>
        <w:rPr>
          <w:rStyle w:val="Corpodeltesto1"/>
        </w:rPr>
        <w:t>ciò non si vuole rifiutare aprioristicamente un tentativo del genere, ma, sempli</w:t>
      </w:r>
      <w:r>
        <w:rPr>
          <w:rStyle w:val="Corpodeltesto1"/>
        </w:rPr>
        <w:softHyphen/>
        <w:t>cemente, si vuole proporre un ulteriore momento di riflessione e di approfondimento prima di intraprendere decisamente una simile strada.</w:t>
      </w:r>
    </w:p>
    <w:p w:rsidR="006E30F6" w:rsidRDefault="00ED0A5D">
      <w:pPr>
        <w:pStyle w:val="Corpodeltesto31"/>
        <w:shd w:val="clear" w:color="auto" w:fill="auto"/>
        <w:spacing w:after="0" w:line="211" w:lineRule="exact"/>
        <w:ind w:left="20" w:right="40" w:firstLine="400"/>
        <w:jc w:val="both"/>
      </w:pPr>
      <w:r>
        <w:rPr>
          <w:rStyle w:val="Corpodeltesto1"/>
        </w:rPr>
        <w:t xml:space="preserve">Se esiste una contraddizione (come è </w:t>
      </w:r>
      <w:r>
        <w:rPr>
          <w:rStyle w:val="Corpodeltesto1"/>
        </w:rPr>
        <w:t xml:space="preserve">stato suggerito anche molto recentemente) tra le idee nuove di </w:t>
      </w:r>
      <w:proofErr w:type="spellStart"/>
      <w:r>
        <w:rPr>
          <w:rStyle w:val="Corpodeltesto1"/>
        </w:rPr>
        <w:t>Keynes</w:t>
      </w:r>
      <w:proofErr w:type="spellEnd"/>
      <w:r>
        <w:rPr>
          <w:rStyle w:val="Corpodeltesto1"/>
        </w:rPr>
        <w:t xml:space="preserve"> « teorico della economia » e gli strumenti formali da lui utilizzati, occorre inda</w:t>
      </w:r>
      <w:r>
        <w:rPr>
          <w:rStyle w:val="Corpodeltesto1"/>
        </w:rPr>
        <w:softHyphen/>
        <w:t>gare quali legami vi siano tra tale contraddizione e l’idea, dimo</w:t>
      </w:r>
      <w:r>
        <w:rPr>
          <w:rStyle w:val="Corpodeltesto1"/>
        </w:rPr>
        <w:softHyphen/>
        <w:t xml:space="preserve">stratasi contraddittoria, propugnata </w:t>
      </w:r>
      <w:r>
        <w:rPr>
          <w:rStyle w:val="Corpodeltesto1"/>
        </w:rPr>
        <w:t xml:space="preserve">dal </w:t>
      </w:r>
      <w:proofErr w:type="spellStart"/>
      <w:r>
        <w:rPr>
          <w:rStyle w:val="Corpodeltesto1"/>
        </w:rPr>
        <w:t>Keynes</w:t>
      </w:r>
      <w:proofErr w:type="spellEnd"/>
      <w:r>
        <w:rPr>
          <w:rStyle w:val="Corpodeltesto1"/>
        </w:rPr>
        <w:t xml:space="preserve"> « politico » che fosse possibile risolvere i problemi del capitalismo tramite la politica economica da lui proposta e, contemporaneamente, porre </w:t>
      </w:r>
      <w:r>
        <w:rPr>
          <w:rStyle w:val="Corpodeltesto22"/>
        </w:rPr>
        <w:t xml:space="preserve">un </w:t>
      </w:r>
      <w:r>
        <w:rPr>
          <w:rStyle w:val="Corpodeltesto1"/>
        </w:rPr>
        <w:t>freno alla spinta della classe operaia per una fuoriuscita dal capitalismo stesso. Sciogliere pos</w:t>
      </w:r>
      <w:r>
        <w:rPr>
          <w:rStyle w:val="Corpodeltesto1"/>
        </w:rPr>
        <w:t>itivamente questa contraddizione deve poter contribuire alla definizione dei limiti della politica dirigista in quanto politica oggettivamente non più proponibile.</w:t>
      </w:r>
    </w:p>
    <w:p w:rsidR="006E30F6" w:rsidRDefault="00ED0A5D">
      <w:pPr>
        <w:pStyle w:val="Corpodeltesto31"/>
        <w:shd w:val="clear" w:color="auto" w:fill="auto"/>
        <w:spacing w:after="0" w:line="211" w:lineRule="exact"/>
        <w:ind w:left="20" w:right="40" w:firstLine="400"/>
        <w:jc w:val="both"/>
      </w:pPr>
      <w:r>
        <w:rPr>
          <w:rStyle w:val="Corpodeltesto1"/>
        </w:rPr>
        <w:t>Si impone, per converso, un approfondimento delle basi teoriche su cui poggia l’azione che i</w:t>
      </w:r>
      <w:r>
        <w:rPr>
          <w:rStyle w:val="Corpodeltesto1"/>
        </w:rPr>
        <w:t>l movimento operaio sta portando avanti per uscire positivamente dalla attuale crisi del capitalismo nell’unico modo possibile, cioè avviando un pro</w:t>
      </w:r>
      <w:r>
        <w:rPr>
          <w:rStyle w:val="Corpodeltesto1"/>
        </w:rPr>
        <w:softHyphen/>
        <w:t>cesso che si muova nella prospettiva di una fuoriuscita dal capitalismo stesso, in un preciso contesto econ</w:t>
      </w:r>
      <w:r>
        <w:rPr>
          <w:rStyle w:val="Corpodeltesto1"/>
        </w:rPr>
        <w:t>omico e politico quale quello attuale.</w:t>
      </w:r>
    </w:p>
    <w:p w:rsidR="006E30F6" w:rsidRDefault="00ED0A5D">
      <w:pPr>
        <w:pStyle w:val="Corpodeltesto31"/>
        <w:shd w:val="clear" w:color="auto" w:fill="auto"/>
        <w:spacing w:after="215" w:line="211" w:lineRule="exact"/>
        <w:ind w:left="20" w:right="40" w:firstLine="400"/>
        <w:jc w:val="both"/>
      </w:pPr>
      <w:r>
        <w:rPr>
          <w:rStyle w:val="Corpodeltesto1"/>
        </w:rPr>
        <w:t>È all’interno di quest’ottica che si è posto il lavoro intra</w:t>
      </w:r>
      <w:r>
        <w:rPr>
          <w:rStyle w:val="Corpodeltesto1"/>
        </w:rPr>
        <w:softHyphen/>
        <w:t>preso all’istituto Gramsci (lavoro, ripetiamo, aperto ad apporti che vogliono essere costruttivi)</w:t>
      </w:r>
      <w:r>
        <w:rPr>
          <w:rStyle w:val="Corpodeltesto1"/>
          <w:vertAlign w:val="superscript"/>
        </w:rPr>
        <w:t>8</w:t>
      </w:r>
      <w:r>
        <w:rPr>
          <w:rStyle w:val="Corpodeltesto1"/>
        </w:rPr>
        <w:t xml:space="preserve"> e in questo senso esso tenta di</w:t>
      </w:r>
    </w:p>
    <w:p w:rsidR="006E30F6" w:rsidRDefault="00ED0A5D">
      <w:pPr>
        <w:pStyle w:val="Corpodeltesto60"/>
        <w:numPr>
          <w:ilvl w:val="0"/>
          <w:numId w:val="5"/>
        </w:numPr>
        <w:shd w:val="clear" w:color="auto" w:fill="auto"/>
        <w:tabs>
          <w:tab w:val="left" w:pos="505"/>
        </w:tabs>
        <w:spacing w:before="0"/>
        <w:ind w:left="20" w:right="40" w:firstLine="400"/>
      </w:pPr>
      <w:r>
        <w:rPr>
          <w:rStyle w:val="Corpodeltesto62"/>
        </w:rPr>
        <w:t xml:space="preserve">Ricordiamo che il tema di lavoro affrontato presso l’istituto Gramsci </w:t>
      </w:r>
      <w:r>
        <w:rPr>
          <w:rStyle w:val="Corpodeltesto61"/>
        </w:rPr>
        <w:t xml:space="preserve">è: </w:t>
      </w:r>
      <w:r>
        <w:rPr>
          <w:rStyle w:val="Corpodeltesto62"/>
        </w:rPr>
        <w:t>« Limiti del dirigismo e basi teoriche della politica delle riforme ».</w:t>
      </w:r>
    </w:p>
    <w:p w:rsidR="006E30F6" w:rsidRDefault="00ED0A5D">
      <w:pPr>
        <w:pStyle w:val="Corpodeltesto31"/>
        <w:shd w:val="clear" w:color="auto" w:fill="auto"/>
        <w:spacing w:after="0" w:line="211" w:lineRule="exact"/>
        <w:ind w:right="760"/>
        <w:jc w:val="both"/>
      </w:pPr>
      <w:r>
        <w:t>dare un contributo all’azione del movimento operaio senza preten</w:t>
      </w:r>
      <w:r>
        <w:softHyphen/>
        <w:t xml:space="preserve">dere con ciò di esprimere </w:t>
      </w:r>
      <w:r>
        <w:rPr>
          <w:rStyle w:val="CorpodeltestoCorsivo"/>
        </w:rPr>
        <w:t>per definizione</w:t>
      </w:r>
      <w:r>
        <w:t xml:space="preserve"> o </w:t>
      </w:r>
      <w:r>
        <w:rPr>
          <w:rStyle w:val="CorpodeltestoCorsivo"/>
        </w:rPr>
        <w:t xml:space="preserve">in </w:t>
      </w:r>
      <w:r>
        <w:rPr>
          <w:rStyle w:val="CorpodeltestoCorsivo"/>
        </w:rPr>
        <w:t>esclusiva</w:t>
      </w:r>
      <w:r>
        <w:t xml:space="preserve"> un punto di vista « alternativo di classe ». Si è consci, al contrario, che</w:t>
      </w:r>
    </w:p>
    <w:p w:rsidR="006E30F6" w:rsidRDefault="00ED0A5D">
      <w:pPr>
        <w:pStyle w:val="Corpodeltesto31"/>
        <w:shd w:val="clear" w:color="auto" w:fill="auto"/>
        <w:spacing w:after="0" w:line="290" w:lineRule="exact"/>
        <w:jc w:val="both"/>
      </w:pPr>
      <w:r>
        <w:t>molto resta da discutere e da approfondire in un sereno ma</w:t>
      </w:r>
    </w:p>
    <w:p w:rsidR="006E30F6" w:rsidRDefault="00ED0A5D">
      <w:pPr>
        <w:pStyle w:val="Corpodeltesto31"/>
        <w:shd w:val="clear" w:color="auto" w:fill="auto"/>
        <w:spacing w:after="0" w:line="211" w:lineRule="exact"/>
        <w:ind w:right="760"/>
        <w:jc w:val="both"/>
      </w:pPr>
      <w:r>
        <w:t>costruttivo confronto di posizioni. Non giova certamente invece ad un lavoro che si ponga tali obiettivi un att</w:t>
      </w:r>
      <w:r>
        <w:t>eggiamento che, non affrontando le reali questioni del dibattito, prenda in esame problemi che, pur controversi e delicati, finiscono per costituire, se considerati isolatamente, aspetti non principali del tema trattato.</w:t>
      </w:r>
    </w:p>
    <w:p w:rsidR="00ED0A5D" w:rsidRDefault="00ED0A5D" w:rsidP="00ED0A5D">
      <w:pPr>
        <w:pStyle w:val="Corpodeltesto70"/>
        <w:shd w:val="clear" w:color="auto" w:fill="auto"/>
        <w:spacing w:after="7502" w:line="290" w:lineRule="exact"/>
        <w:ind w:left="3640"/>
      </w:pPr>
      <w:r>
        <w:t>Pier Carlo Padoan</w:t>
      </w:r>
    </w:p>
    <w:p w:rsidR="006E30F6" w:rsidRDefault="00ED0A5D" w:rsidP="00ED0A5D">
      <w:pPr>
        <w:pStyle w:val="Corpodeltesto70"/>
        <w:shd w:val="clear" w:color="auto" w:fill="auto"/>
        <w:spacing w:after="7502" w:line="290" w:lineRule="exact"/>
      </w:pPr>
      <w:r>
        <w:rPr>
          <w:vertAlign w:val="superscript"/>
        </w:rPr>
        <w:lastRenderedPageBreak/>
        <w:t>1</w:t>
      </w:r>
      <w:r>
        <w:rPr>
          <w:rStyle w:val="Notaapidipagina10pt"/>
        </w:rPr>
        <w:tab/>
        <w:t xml:space="preserve">P. </w:t>
      </w:r>
      <w:r>
        <w:t xml:space="preserve">C. </w:t>
      </w:r>
      <w:proofErr w:type="spellStart"/>
      <w:r>
        <w:rPr>
          <w:rStyle w:val="Notaapidipagina10pt"/>
        </w:rPr>
        <w:t>Padoan</w:t>
      </w:r>
      <w:proofErr w:type="spellEnd"/>
      <w:r>
        <w:rPr>
          <w:rStyle w:val="Notaapidipagina10pt"/>
        </w:rPr>
        <w:t xml:space="preserve">, </w:t>
      </w:r>
      <w:r>
        <w:t xml:space="preserve">« Il fallimento del pensiero keynesiano », in </w:t>
      </w:r>
      <w:r>
        <w:rPr>
          <w:rStyle w:val="NotaapidipaginaCorsivo"/>
        </w:rPr>
        <w:t>Critica marxista,</w:t>
      </w:r>
      <w:r>
        <w:t xml:space="preserve"> 1975, n. 1.</w:t>
      </w:r>
    </w:p>
    <w:sectPr w:rsidR="006E30F6" w:rsidSect="006E30F6">
      <w:headerReference w:type="even" r:id="rId9"/>
      <w:headerReference w:type="default" r:id="rId10"/>
      <w:type w:val="continuous"/>
      <w:pgSz w:w="11909" w:h="16834"/>
      <w:pgMar w:top="3207" w:right="2721" w:bottom="2775" w:left="2793"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0A5D" w:rsidRDefault="00ED0A5D" w:rsidP="006E30F6">
      <w:r>
        <w:separator/>
      </w:r>
    </w:p>
  </w:endnote>
  <w:endnote w:type="continuationSeparator" w:id="0">
    <w:p w:rsidR="00ED0A5D" w:rsidRDefault="00ED0A5D" w:rsidP="006E30F6">
      <w:r>
        <w:continuationSeparator/>
      </w:r>
    </w:p>
  </w:endnote>
</w:endnotes>
</file>

<file path=word/fontTable.xml><?xml version="1.0" encoding="utf-8"?>
<w:fonts xmlns:r="http://schemas.openxmlformats.org/officeDocument/2006/relationships" xmlns:w="http://schemas.openxmlformats.org/wordprocessingml/2006/main">
  <w:font w:name="Angsana New">
    <w:panose1 w:val="02020603050405020304"/>
    <w:charset w:val="00"/>
    <w:family w:val="roman"/>
    <w:pitch w:val="variable"/>
    <w:sig w:usb0="81000003" w:usb1="00000000" w:usb2="00000000" w:usb3="00000000" w:csb0="0001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0A5D" w:rsidRDefault="00ED0A5D">
      <w:r>
        <w:separator/>
      </w:r>
    </w:p>
  </w:footnote>
  <w:footnote w:type="continuationSeparator" w:id="0">
    <w:p w:rsidR="00ED0A5D" w:rsidRDefault="00ED0A5D">
      <w:r>
        <w:continuationSeparator/>
      </w:r>
    </w:p>
  </w:footnote>
  <w:footnote w:id="1">
    <w:p w:rsidR="006E30F6" w:rsidRDefault="00ED0A5D">
      <w:pPr>
        <w:pStyle w:val="Notaapidipagina0"/>
        <w:shd w:val="clear" w:color="auto" w:fill="auto"/>
        <w:tabs>
          <w:tab w:val="left" w:pos="475"/>
        </w:tabs>
        <w:ind w:right="20" w:firstLine="320"/>
        <w:jc w:val="both"/>
      </w:pPr>
      <w:r>
        <w:rPr>
          <w:vertAlign w:val="superscript"/>
        </w:rPr>
        <w:footnoteRef/>
      </w:r>
      <w:r w:rsidRPr="00ED0A5D">
        <w:rPr>
          <w:lang w:val="en-US"/>
        </w:rPr>
        <w:tab/>
        <w:t xml:space="preserve">J. M. </w:t>
      </w:r>
      <w:r w:rsidRPr="00ED0A5D">
        <w:rPr>
          <w:rStyle w:val="Notaapidipagina10pt"/>
          <w:lang w:val="en-US"/>
        </w:rPr>
        <w:t xml:space="preserve">Keynes, </w:t>
      </w:r>
      <w:r w:rsidRPr="00ED0A5D">
        <w:rPr>
          <w:rStyle w:val="NotaapidipaginaCorsivo"/>
          <w:lang w:val="en-US"/>
        </w:rPr>
        <w:t>The General Theory of Employment, Interest and Money,</w:t>
      </w:r>
      <w:r w:rsidRPr="00ED0A5D">
        <w:rPr>
          <w:lang w:val="en-US"/>
        </w:rPr>
        <w:t xml:space="preserve"> ed. it., Torino, Boringhieri, 1971, p. 516. </w:t>
      </w:r>
      <w:r>
        <w:t xml:space="preserve">L’affermazione di </w:t>
      </w:r>
      <w:proofErr w:type="spellStart"/>
      <w:r>
        <w:t>Keynes</w:t>
      </w:r>
      <w:proofErr w:type="spellEnd"/>
      <w:r>
        <w:t xml:space="preserve"> riportata nel testo è l’esatt</w:t>
      </w:r>
      <w:r>
        <w:t>o complemento di un’altra, secondo la quale « l’au</w:t>
      </w:r>
      <w:r>
        <w:softHyphen/>
        <w:t xml:space="preserve">mento del capitale, lungi dall’essere dipendente dall’astinenza del ricco, come comunemente si suppone, è più probabilmente impedito da essa * </w:t>
      </w:r>
      <w:r>
        <w:rPr>
          <w:rStyle w:val="NotaapidipaginaCorsivo"/>
        </w:rPr>
        <w:t xml:space="preserve">(ivi, </w:t>
      </w:r>
      <w:r>
        <w:t xml:space="preserve">p. 517). Cosi da una parte si levava molto terreno alla </w:t>
      </w:r>
      <w:r>
        <w:t>giustificazione del pro</w:t>
      </w:r>
      <w:r>
        <w:softHyphen/>
        <w:t xml:space="preserve">fitto come remunerazione per la « scarsità » del capitale, dall’altra, come </w:t>
      </w:r>
      <w:r>
        <w:rPr>
          <w:rStyle w:val="Notaapidipagina10pt"/>
        </w:rPr>
        <w:t>Key-</w:t>
      </w:r>
    </w:p>
  </w:footnote>
  <w:footnote w:id="2">
    <w:p w:rsidR="006E30F6" w:rsidRDefault="00ED0A5D">
      <w:pPr>
        <w:pStyle w:val="Notaapidipagina0"/>
        <w:shd w:val="clear" w:color="auto" w:fill="auto"/>
        <w:tabs>
          <w:tab w:val="left" w:pos="485"/>
        </w:tabs>
        <w:ind w:right="20" w:firstLine="340"/>
      </w:pPr>
      <w:r>
        <w:rPr>
          <w:vertAlign w:val="superscript"/>
        </w:rPr>
        <w:footnoteRef/>
      </w:r>
      <w:r w:rsidRPr="00ED0A5D">
        <w:rPr>
          <w:lang w:val="en-US"/>
        </w:rPr>
        <w:tab/>
      </w:r>
      <w:r w:rsidRPr="00ED0A5D">
        <w:rPr>
          <w:lang w:val="en-US"/>
        </w:rPr>
        <w:t xml:space="preserve">In « Alternative Theories of thè Rate of Interest » (1937), ora in </w:t>
      </w:r>
      <w:r w:rsidRPr="00ED0A5D">
        <w:rPr>
          <w:rStyle w:val="NotaapidipaginaCorsivo"/>
          <w:lang w:val="en-US"/>
        </w:rPr>
        <w:t>The Collected Writings of John Maynard Keynes,</w:t>
      </w:r>
      <w:r w:rsidRPr="00ED0A5D">
        <w:rPr>
          <w:lang w:val="en-US"/>
        </w:rPr>
        <w:t xml:space="preserve"> voi. </w:t>
      </w:r>
      <w:r>
        <w:t>XIV, London, 1973, p. 212.</w:t>
      </w:r>
    </w:p>
  </w:footnote>
  <w:footnote w:id="3">
    <w:p w:rsidR="006E30F6" w:rsidRDefault="00ED0A5D">
      <w:pPr>
        <w:pStyle w:val="Notaapidipagina0"/>
        <w:shd w:val="clear" w:color="auto" w:fill="auto"/>
        <w:tabs>
          <w:tab w:val="left" w:pos="480"/>
        </w:tabs>
        <w:ind w:firstLine="340"/>
      </w:pPr>
      <w:r>
        <w:rPr>
          <w:rStyle w:val="Notaapidipagina1"/>
          <w:vertAlign w:val="superscript"/>
        </w:rPr>
        <w:footnoteRef/>
      </w:r>
      <w:r>
        <w:rPr>
          <w:rStyle w:val="Notaapidipagina1"/>
        </w:rPr>
        <w:tab/>
      </w:r>
      <w:r>
        <w:rPr>
          <w:rStyle w:val="Notaapidipagina1"/>
        </w:rPr>
        <w:t xml:space="preserve">Cfr. P. </w:t>
      </w:r>
      <w:proofErr w:type="spellStart"/>
      <w:r>
        <w:rPr>
          <w:rStyle w:val="Notaapidipagina10pt0"/>
        </w:rPr>
        <w:t>Garegnani</w:t>
      </w:r>
      <w:proofErr w:type="spellEnd"/>
      <w:r>
        <w:rPr>
          <w:rStyle w:val="Notaapidipagina10pt0"/>
        </w:rPr>
        <w:t xml:space="preserve">, </w:t>
      </w:r>
      <w:r>
        <w:rPr>
          <w:rStyle w:val="Notaapidipagina1"/>
        </w:rPr>
        <w:t>« Note su consumi, investimenti e domanda effetti</w:t>
      </w:r>
      <w:r>
        <w:rPr>
          <w:rStyle w:val="Notaapidipagina1"/>
        </w:rPr>
        <w:softHyphen/>
        <w:t xml:space="preserve">va », parte II, in </w:t>
      </w:r>
      <w:r>
        <w:rPr>
          <w:rStyle w:val="NotaapidipaginaCorsivo0"/>
        </w:rPr>
        <w:t>Economia internazionale,</w:t>
      </w:r>
      <w:r>
        <w:rPr>
          <w:rStyle w:val="Notaapidipagina1"/>
        </w:rPr>
        <w:t xml:space="preserve"> 1965, p. 602.</w:t>
      </w:r>
    </w:p>
  </w:footnote>
  <w:footnote w:id="4">
    <w:p w:rsidR="006E30F6" w:rsidRDefault="00ED0A5D">
      <w:pPr>
        <w:pStyle w:val="Notaapidipagina0"/>
        <w:shd w:val="clear" w:color="auto" w:fill="auto"/>
        <w:tabs>
          <w:tab w:val="left" w:pos="510"/>
        </w:tabs>
        <w:ind w:left="20" w:firstLine="320"/>
        <w:jc w:val="both"/>
      </w:pPr>
      <w:r>
        <w:rPr>
          <w:rStyle w:val="Notaapidipagina1"/>
          <w:vertAlign w:val="superscript"/>
        </w:rPr>
        <w:footnoteRef/>
      </w:r>
      <w:r>
        <w:rPr>
          <w:rStyle w:val="Notaapidipagina1"/>
        </w:rPr>
        <w:tab/>
        <w:t>« La funzione di domanda di "capitale” rappresenta in forma istan</w:t>
      </w:r>
      <w:r>
        <w:rPr>
          <w:rStyle w:val="Notaapidipagina1"/>
        </w:rPr>
        <w:softHyphen/>
        <w:t xml:space="preserve">tanea una successione di domande di investimento mediante le </w:t>
      </w:r>
      <w:r>
        <w:rPr>
          <w:rStyle w:val="Notaapidipagina1"/>
        </w:rPr>
        <w:t>quali sol</w:t>
      </w:r>
      <w:r>
        <w:rPr>
          <w:rStyle w:val="Notaapidipagina1"/>
        </w:rPr>
        <w:softHyphen/>
        <w:t xml:space="preserve">tanto essa può di fatto agire... la curva di domanda di investimenti... sarebbe copia in scala della curva di domanda complessiva di capitale » (P. </w:t>
      </w:r>
      <w:proofErr w:type="spellStart"/>
      <w:r>
        <w:rPr>
          <w:rStyle w:val="Notaapidipagina10pt0"/>
        </w:rPr>
        <w:t>Garegnani</w:t>
      </w:r>
      <w:proofErr w:type="spellEnd"/>
      <w:r>
        <w:rPr>
          <w:rStyle w:val="Notaapidipagina10pt0"/>
        </w:rPr>
        <w:t xml:space="preserve">, </w:t>
      </w:r>
      <w:r>
        <w:rPr>
          <w:rStyle w:val="NotaapidipaginaCorsivo0"/>
        </w:rPr>
        <w:t>op. cit.,</w:t>
      </w:r>
      <w:r>
        <w:rPr>
          <w:rStyle w:val="Notaapidipagina1"/>
        </w:rPr>
        <w:t xml:space="preserve"> parte I, in </w:t>
      </w:r>
      <w:r>
        <w:rPr>
          <w:rStyle w:val="NotaapidipaginaCorsivo0"/>
        </w:rPr>
        <w:t>Economia internazionale,</w:t>
      </w:r>
      <w:r>
        <w:rPr>
          <w:rStyle w:val="Notaapidipagina1"/>
        </w:rPr>
        <w:t xml:space="preserve"> 1964, p. 614). Sia consentito richiamare</w:t>
      </w:r>
      <w:r>
        <w:rPr>
          <w:rStyle w:val="Notaapidipagina1"/>
        </w:rPr>
        <w:t xml:space="preserve"> qui una sorprendente affermazione contenuta nella relazione di </w:t>
      </w:r>
      <w:proofErr w:type="spellStart"/>
      <w:r>
        <w:rPr>
          <w:rStyle w:val="Notaapidipagina1"/>
        </w:rPr>
        <w:t>Padoan</w:t>
      </w:r>
      <w:proofErr w:type="spellEnd"/>
      <w:r>
        <w:rPr>
          <w:rStyle w:val="Notaapidipagina1"/>
        </w:rPr>
        <w:t xml:space="preserve"> circa la funzione di investimento di </w:t>
      </w:r>
      <w:proofErr w:type="spellStart"/>
      <w:r>
        <w:rPr>
          <w:rStyle w:val="Notaapidipagina1"/>
        </w:rPr>
        <w:t>Keynes</w:t>
      </w:r>
      <w:proofErr w:type="spellEnd"/>
      <w:r>
        <w:rPr>
          <w:rStyle w:val="Notaapidipagina1"/>
        </w:rPr>
        <w:t xml:space="preserve">, secondo la quale « la funzione che lega il saggio dell’interesse al livello degli investimenti [sarebbe una delle] modifiche apportate da </w:t>
      </w:r>
      <w:proofErr w:type="spellStart"/>
      <w:r>
        <w:rPr>
          <w:rStyle w:val="Notaapidipagina1"/>
        </w:rPr>
        <w:t>Ke</w:t>
      </w:r>
      <w:r>
        <w:rPr>
          <w:rStyle w:val="Notaapidipagina1"/>
        </w:rPr>
        <w:t>ynes</w:t>
      </w:r>
      <w:proofErr w:type="spellEnd"/>
      <w:r>
        <w:rPr>
          <w:rStyle w:val="Notaapidipagina1"/>
        </w:rPr>
        <w:t xml:space="preserve"> ad alcuni strumenti teorici propri dell’apparato neoclassico [e tale che] metteva in moto un meccanismo di critica radicale all’intera struttura formale neoclassica ». (p. 163). Tale tesi • viene attribuita a </w:t>
      </w:r>
      <w:proofErr w:type="spellStart"/>
      <w:r>
        <w:rPr>
          <w:rStyle w:val="Notaapidipagina1"/>
        </w:rPr>
        <w:t>Garegnani</w:t>
      </w:r>
      <w:proofErr w:type="spellEnd"/>
      <w:r>
        <w:rPr>
          <w:rStyle w:val="Notaapidipagina1"/>
        </w:rPr>
        <w:t xml:space="preserve">. Ora, </w:t>
      </w:r>
      <w:proofErr w:type="spellStart"/>
      <w:r>
        <w:rPr>
          <w:rStyle w:val="Notaapidipagina1"/>
        </w:rPr>
        <w:t>Garegnani</w:t>
      </w:r>
      <w:proofErr w:type="spellEnd"/>
      <w:r>
        <w:rPr>
          <w:rStyle w:val="Notaapidipagina1"/>
        </w:rPr>
        <w:t xml:space="preserve"> argo</w:t>
      </w:r>
      <w:r>
        <w:rPr>
          <w:rStyle w:val="Notaapidipagina1"/>
        </w:rPr>
        <w:softHyphen/>
        <w:t>menta esatt</w:t>
      </w:r>
      <w:r>
        <w:rPr>
          <w:rStyle w:val="Notaapidipagina1"/>
        </w:rPr>
        <w:t>amente il contrario, cioè che una funzione di investimento ela</w:t>
      </w:r>
      <w:r>
        <w:rPr>
          <w:rStyle w:val="Notaapidipagina1"/>
        </w:rPr>
        <w:softHyphen/>
        <w:t xml:space="preserve">stica rispetto al saggio di interesse costituisce proprio il principale elemento « tradizionale » dell’analisi di </w:t>
      </w:r>
      <w:proofErr w:type="spellStart"/>
      <w:r>
        <w:rPr>
          <w:rStyle w:val="Notaapidipagina1"/>
        </w:rPr>
        <w:t>Keynes</w:t>
      </w:r>
      <w:proofErr w:type="spellEnd"/>
      <w:r>
        <w:rPr>
          <w:rStyle w:val="Notaapidipagina1"/>
        </w:rPr>
        <w:t xml:space="preserve"> e la base per il suo « recupero » da parte marginalista; come si cerca d</w:t>
      </w:r>
      <w:r>
        <w:rPr>
          <w:rStyle w:val="Notaapidipagina1"/>
        </w:rPr>
        <w:t>i mostrare anche qui sopra nel testo.</w:t>
      </w:r>
    </w:p>
  </w:footnote>
  <w:footnote w:id="5">
    <w:p w:rsidR="006E30F6" w:rsidRPr="00ED0A5D" w:rsidRDefault="00ED0A5D">
      <w:pPr>
        <w:pStyle w:val="Notaapidipagina0"/>
        <w:shd w:val="clear" w:color="auto" w:fill="auto"/>
        <w:tabs>
          <w:tab w:val="left" w:pos="475"/>
        </w:tabs>
        <w:ind w:right="20" w:firstLine="340"/>
        <w:jc w:val="both"/>
        <w:rPr>
          <w:lang w:val="en-US"/>
        </w:rPr>
      </w:pPr>
      <w:r>
        <w:rPr>
          <w:vertAlign w:val="superscript"/>
        </w:rPr>
        <w:footnoteRef/>
      </w:r>
      <w:r w:rsidRPr="00ED0A5D">
        <w:rPr>
          <w:lang w:val="en-US"/>
        </w:rPr>
        <w:tab/>
      </w:r>
      <w:r w:rsidRPr="00ED0A5D">
        <w:rPr>
          <w:lang w:val="en-US"/>
        </w:rPr>
        <w:t xml:space="preserve">J.R. </w:t>
      </w:r>
      <w:r w:rsidRPr="00ED0A5D">
        <w:rPr>
          <w:rStyle w:val="Notaapidipagina10pt"/>
          <w:lang w:val="en-US"/>
        </w:rPr>
        <w:t xml:space="preserve">Hicks, </w:t>
      </w:r>
      <w:r w:rsidRPr="00ED0A5D">
        <w:rPr>
          <w:lang w:val="en-US"/>
        </w:rPr>
        <w:t xml:space="preserve">« Mr. Keynes and thè "Classics”. A Suggested Inter- pretation » (1937), ora in </w:t>
      </w:r>
      <w:r w:rsidRPr="00ED0A5D">
        <w:rPr>
          <w:rStyle w:val="NotaapidipaginaCorsivo"/>
          <w:lang w:val="en-US"/>
        </w:rPr>
        <w:t>Criticai Essays in Monetary Theory,</w:t>
      </w:r>
      <w:r w:rsidRPr="00ED0A5D">
        <w:rPr>
          <w:lang w:val="en-US"/>
        </w:rPr>
        <w:t xml:space="preserve"> Oxford, 1967, p. 138 (ed. it., Milano, 1967, p. 113).</w:t>
      </w:r>
    </w:p>
  </w:footnote>
  <w:footnote w:id="6">
    <w:p w:rsidR="006E30F6" w:rsidRPr="00ED0A5D" w:rsidRDefault="00ED0A5D">
      <w:pPr>
        <w:pStyle w:val="Notaapidipagina0"/>
        <w:shd w:val="clear" w:color="auto" w:fill="auto"/>
        <w:tabs>
          <w:tab w:val="left" w:pos="470"/>
        </w:tabs>
        <w:ind w:right="20" w:firstLine="340"/>
        <w:jc w:val="both"/>
        <w:rPr>
          <w:lang w:val="en-US"/>
        </w:rPr>
      </w:pPr>
      <w:r>
        <w:rPr>
          <w:vertAlign w:val="superscript"/>
        </w:rPr>
        <w:footnoteRef/>
      </w:r>
      <w:r w:rsidRPr="00ED0A5D">
        <w:rPr>
          <w:rStyle w:val="Notaapidipagina115ptGrassetto"/>
          <w:lang w:val="en-US"/>
        </w:rPr>
        <w:tab/>
        <w:t xml:space="preserve">F. </w:t>
      </w:r>
      <w:r w:rsidRPr="00ED0A5D">
        <w:rPr>
          <w:rStyle w:val="Notaapidipagina10pt"/>
          <w:lang w:val="en-US"/>
        </w:rPr>
        <w:t xml:space="preserve">Modigliani, </w:t>
      </w:r>
      <w:r w:rsidRPr="00ED0A5D">
        <w:rPr>
          <w:lang w:val="en-US"/>
        </w:rPr>
        <w:t xml:space="preserve">« Liquidity Preference and thè Theofy of Interest and Money » </w:t>
      </w:r>
      <w:r w:rsidRPr="00ED0A5D">
        <w:rPr>
          <w:rStyle w:val="Notaapidipagina115ptGrassetto"/>
          <w:lang w:val="en-US"/>
        </w:rPr>
        <w:t xml:space="preserve">(1944), </w:t>
      </w:r>
      <w:r w:rsidRPr="00ED0A5D">
        <w:rPr>
          <w:lang w:val="en-US"/>
        </w:rPr>
        <w:t xml:space="preserve">ora in </w:t>
      </w:r>
      <w:r w:rsidRPr="00ED0A5D">
        <w:rPr>
          <w:rStyle w:val="Notaapidipagina115ptGrassettoMaiuscoletto"/>
          <w:lang w:val="en-US"/>
        </w:rPr>
        <w:t xml:space="preserve">F. A. Lutz-L. \V. Mints </w:t>
      </w:r>
      <w:r w:rsidRPr="00ED0A5D">
        <w:rPr>
          <w:lang w:val="en-US"/>
        </w:rPr>
        <w:t xml:space="preserve">(Eds), </w:t>
      </w:r>
      <w:r w:rsidRPr="00ED0A5D">
        <w:rPr>
          <w:rStyle w:val="NotaapidipaginaCorsivo"/>
          <w:lang w:val="en-US"/>
        </w:rPr>
        <w:t>Readings in Monetary Theory,</w:t>
      </w:r>
      <w:r w:rsidRPr="00ED0A5D">
        <w:rPr>
          <w:lang w:val="en-US"/>
        </w:rPr>
        <w:t xml:space="preserve"> London, 1952, p. 222. Corsivo nostro.</w:t>
      </w:r>
    </w:p>
  </w:footnote>
  <w:footnote w:id="7">
    <w:p w:rsidR="006E30F6" w:rsidRDefault="00ED0A5D">
      <w:pPr>
        <w:pStyle w:val="Notaapidipagina0"/>
        <w:shd w:val="clear" w:color="auto" w:fill="auto"/>
        <w:tabs>
          <w:tab w:val="left" w:pos="543"/>
        </w:tabs>
        <w:ind w:left="20" w:right="20" w:firstLine="340"/>
        <w:jc w:val="both"/>
      </w:pPr>
      <w:r>
        <w:rPr>
          <w:vertAlign w:val="superscript"/>
        </w:rPr>
        <w:footnoteRef/>
      </w:r>
      <w:r>
        <w:tab/>
        <w:t xml:space="preserve">Cosi </w:t>
      </w:r>
      <w:proofErr w:type="spellStart"/>
      <w:r>
        <w:t>Hicks</w:t>
      </w:r>
      <w:proofErr w:type="spellEnd"/>
      <w:r>
        <w:t xml:space="preserve"> affermava </w:t>
      </w:r>
      <w:r>
        <w:rPr>
          <w:rStyle w:val="NotaapidipaginaCorsivo"/>
        </w:rPr>
        <w:t>(op. cit.,</w:t>
      </w:r>
      <w:r>
        <w:t xml:space="preserve"> p. 130, ed. </w:t>
      </w:r>
      <w:proofErr w:type="spellStart"/>
      <w:r>
        <w:t>it</w:t>
      </w:r>
      <w:proofErr w:type="spellEnd"/>
      <w:r>
        <w:t xml:space="preserve">., p. 107) che « ciò che </w:t>
      </w:r>
      <w:proofErr w:type="spellStart"/>
      <w:r>
        <w:t>Keynes</w:t>
      </w:r>
      <w:proofErr w:type="spellEnd"/>
      <w:r>
        <w:t xml:space="preserve"> h</w:t>
      </w:r>
      <w:r>
        <w:t xml:space="preserve">a fatto è stato il porre enorme enfasi sulle qualificazioni [della teoria monetaria di Marshall] » e che la teoria di </w:t>
      </w:r>
      <w:proofErr w:type="spellStart"/>
      <w:r>
        <w:t>Keynes</w:t>
      </w:r>
      <w:proofErr w:type="spellEnd"/>
      <w:r>
        <w:t xml:space="preserve"> poteva finire col « rassomigliare molto a quella di </w:t>
      </w:r>
      <w:proofErr w:type="spellStart"/>
      <w:r>
        <w:t>Wicksell</w:t>
      </w:r>
      <w:proofErr w:type="spellEnd"/>
      <w:r>
        <w:t xml:space="preserve"> » </w:t>
      </w:r>
      <w:r>
        <w:rPr>
          <w:rStyle w:val="NotaapidipaginaCorsivo"/>
        </w:rPr>
        <w:t>(ivi,</w:t>
      </w:r>
      <w:r>
        <w:t xml:space="preserve"> p. 140, ed. </w:t>
      </w:r>
      <w:proofErr w:type="spellStart"/>
      <w:r>
        <w:t>it</w:t>
      </w:r>
      <w:proofErr w:type="spellEnd"/>
      <w:r>
        <w:t>., p. 115).</w:t>
      </w:r>
    </w:p>
  </w:footnote>
  <w:footnote w:id="8">
    <w:p w:rsidR="006E30F6" w:rsidRDefault="00ED0A5D">
      <w:pPr>
        <w:pStyle w:val="Notaapidipagina0"/>
        <w:shd w:val="clear" w:color="auto" w:fill="auto"/>
        <w:tabs>
          <w:tab w:val="left" w:pos="567"/>
        </w:tabs>
        <w:ind w:left="380"/>
      </w:pPr>
      <w:r>
        <w:rPr>
          <w:vertAlign w:val="superscript"/>
        </w:rPr>
        <w:footnoteRef/>
      </w:r>
      <w:r>
        <w:tab/>
      </w:r>
      <w:r>
        <w:rPr>
          <w:rStyle w:val="NotaapidipaginaCorsivo"/>
        </w:rPr>
        <w:t>Teoria generale,</w:t>
      </w:r>
      <w:r>
        <w:t xml:space="preserve"> cit., p. 517.</w:t>
      </w:r>
    </w:p>
  </w:footnote>
  <w:footnote w:id="9">
    <w:p w:rsidR="006E30F6" w:rsidRDefault="00ED0A5D">
      <w:pPr>
        <w:pStyle w:val="Notaapidipagina0"/>
        <w:shd w:val="clear" w:color="auto" w:fill="auto"/>
        <w:tabs>
          <w:tab w:val="left" w:pos="573"/>
        </w:tabs>
        <w:ind w:left="40" w:firstLine="340"/>
        <w:jc w:val="both"/>
      </w:pPr>
      <w:r>
        <w:rPr>
          <w:vertAlign w:val="superscript"/>
        </w:rPr>
        <w:footnoteRef/>
      </w:r>
      <w:r>
        <w:tab/>
        <w:t>I</w:t>
      </w:r>
      <w:r>
        <w:t xml:space="preserve">n proposito, si tenga presente che secondo la relazione di </w:t>
      </w:r>
      <w:proofErr w:type="spellStart"/>
      <w:r>
        <w:t>Padoan</w:t>
      </w:r>
      <w:proofErr w:type="spellEnd"/>
      <w:r>
        <w:t xml:space="preserve"> « il sistema teorico marginalista.... visione perfettamente armonica dell’eco</w:t>
      </w:r>
      <w:r>
        <w:softHyphen/>
        <w:t xml:space="preserve">nomia... trova sostegno proprio nei fatti della storia del tempo [la fine dell’800] » (p. 151). Cioè il sistema </w:t>
      </w:r>
      <w:r>
        <w:t xml:space="preserve">capitalistico verso la fine dell’800 sarebbe stato, </w:t>
      </w:r>
      <w:r>
        <w:rPr>
          <w:rStyle w:val="NotaapidipaginaCorsivo"/>
        </w:rPr>
        <w:t>di fatto,</w:t>
      </w:r>
      <w:r>
        <w:t xml:space="preserve"> un sistema armonico? (Nello stesso passo si afferma pure che all’epoca esso « non provocava fenomeni di mancata utilizzazione delle ri</w:t>
      </w:r>
      <w:r>
        <w:softHyphen/>
        <w:t>sorse »...).</w:t>
      </w:r>
    </w:p>
  </w:footnote>
  <w:footnote w:id="10">
    <w:p w:rsidR="006E30F6" w:rsidRDefault="00ED0A5D">
      <w:pPr>
        <w:pStyle w:val="Notaapidipagina20"/>
        <w:shd w:val="clear" w:color="auto" w:fill="auto"/>
        <w:tabs>
          <w:tab w:val="left" w:pos="573"/>
        </w:tabs>
        <w:ind w:left="40"/>
      </w:pPr>
      <w:r>
        <w:rPr>
          <w:rStyle w:val="Notaapidipagina2Noncorsivo"/>
          <w:vertAlign w:val="superscript"/>
        </w:rPr>
        <w:footnoteRef/>
      </w:r>
      <w:r>
        <w:rPr>
          <w:rStyle w:val="Notaapidipagina2Noncorsivo"/>
        </w:rPr>
        <w:tab/>
        <w:t xml:space="preserve">P. </w:t>
      </w:r>
      <w:proofErr w:type="spellStart"/>
      <w:r>
        <w:rPr>
          <w:rStyle w:val="Notaapidipagina210ptNoncorsivo"/>
        </w:rPr>
        <w:t>Sraffa</w:t>
      </w:r>
      <w:proofErr w:type="spellEnd"/>
      <w:r>
        <w:rPr>
          <w:rStyle w:val="Notaapidipagina210ptNoncorsivo"/>
        </w:rPr>
        <w:t xml:space="preserve">, </w:t>
      </w:r>
      <w:r>
        <w:t>Produzione di merci a mezzo di me</w:t>
      </w:r>
      <w:r>
        <w:t>rci</w:t>
      </w:r>
      <w:r>
        <w:rPr>
          <w:rStyle w:val="Notaapidipagina2Noncorsivo"/>
        </w:rPr>
        <w:t xml:space="preserve">, Torino, 1960. P. </w:t>
      </w:r>
      <w:proofErr w:type="spellStart"/>
      <w:r>
        <w:rPr>
          <w:rStyle w:val="Notaapidipagina210ptNoncorsivo"/>
        </w:rPr>
        <w:t>Garegnani</w:t>
      </w:r>
      <w:proofErr w:type="spellEnd"/>
      <w:r>
        <w:rPr>
          <w:rStyle w:val="Notaapidipagina210ptNoncorsivo"/>
        </w:rPr>
        <w:t xml:space="preserve">, </w:t>
      </w:r>
      <w:r>
        <w:t>Il capitale nelle teorie della distribuzione,</w:t>
      </w:r>
      <w:r>
        <w:rPr>
          <w:rStyle w:val="Notaapidipagina2Noncorsivo"/>
        </w:rPr>
        <w:t xml:space="preserve"> Milano, 1960.</w:t>
      </w:r>
    </w:p>
  </w:footnote>
  <w:footnote w:id="11">
    <w:p w:rsidR="006E30F6" w:rsidRDefault="00ED0A5D">
      <w:pPr>
        <w:pStyle w:val="Notaapidipagina0"/>
        <w:shd w:val="clear" w:color="auto" w:fill="auto"/>
        <w:tabs>
          <w:tab w:val="left" w:pos="187"/>
        </w:tabs>
        <w:spacing w:line="250" w:lineRule="exact"/>
        <w:ind w:right="40"/>
        <w:jc w:val="right"/>
      </w:pPr>
      <w:r>
        <w:rPr>
          <w:vertAlign w:val="superscript"/>
        </w:rPr>
        <w:footnoteRef/>
      </w:r>
      <w:r>
        <w:tab/>
        <w:t xml:space="preserve">Su ciò si rimanda a </w:t>
      </w:r>
      <w:proofErr w:type="spellStart"/>
      <w:r>
        <w:rPr>
          <w:rStyle w:val="Notaapidipagina10pt"/>
        </w:rPr>
        <w:t>Garegnani</w:t>
      </w:r>
      <w:proofErr w:type="spellEnd"/>
      <w:r>
        <w:rPr>
          <w:rStyle w:val="Notaapidipagina10pt"/>
        </w:rPr>
        <w:t xml:space="preserve">, </w:t>
      </w:r>
      <w:r>
        <w:t>« Note... », cit., parte II, p. 606 sgg.</w:t>
      </w:r>
    </w:p>
  </w:footnote>
  <w:footnote w:id="12">
    <w:p w:rsidR="006E30F6" w:rsidRDefault="00ED0A5D">
      <w:pPr>
        <w:pStyle w:val="Notaapidipagina0"/>
        <w:shd w:val="clear" w:color="auto" w:fill="auto"/>
        <w:tabs>
          <w:tab w:val="left" w:pos="499"/>
        </w:tabs>
        <w:ind w:right="40" w:firstLine="360"/>
      </w:pPr>
      <w:r>
        <w:rPr>
          <w:vertAlign w:val="superscript"/>
        </w:rPr>
        <w:footnoteRef/>
      </w:r>
      <w:r>
        <w:tab/>
        <w:t xml:space="preserve">P.C. </w:t>
      </w:r>
      <w:proofErr w:type="spellStart"/>
      <w:r>
        <w:rPr>
          <w:rStyle w:val="Notaapidipagina10pt"/>
        </w:rPr>
        <w:t>Padoan</w:t>
      </w:r>
      <w:proofErr w:type="spellEnd"/>
      <w:r>
        <w:rPr>
          <w:rStyle w:val="Notaapidipagina10pt"/>
        </w:rPr>
        <w:t xml:space="preserve">, </w:t>
      </w:r>
      <w:r>
        <w:t xml:space="preserve">« Il fallimento del pensiero keynesiano », in </w:t>
      </w:r>
      <w:r>
        <w:rPr>
          <w:rStyle w:val="NotaapidipaginaCorsivo"/>
        </w:rPr>
        <w:t>Critica mar</w:t>
      </w:r>
      <w:r>
        <w:rPr>
          <w:rStyle w:val="NotaapidipaginaCorsivo"/>
        </w:rPr>
        <w:softHyphen/>
        <w:t>xista,</w:t>
      </w:r>
      <w:r>
        <w:t xml:space="preserve"> 1975, n. 1.</w:t>
      </w:r>
    </w:p>
  </w:footnote>
  <w:footnote w:id="13">
    <w:p w:rsidR="006E30F6" w:rsidRDefault="00ED0A5D">
      <w:pPr>
        <w:pStyle w:val="Notaapidipagina0"/>
        <w:shd w:val="clear" w:color="auto" w:fill="auto"/>
        <w:tabs>
          <w:tab w:val="left" w:pos="494"/>
        </w:tabs>
        <w:ind w:right="60" w:firstLine="340"/>
        <w:jc w:val="both"/>
      </w:pPr>
      <w:r>
        <w:rPr>
          <w:vertAlign w:val="superscript"/>
        </w:rPr>
        <w:footnoteRef/>
      </w:r>
      <w:r>
        <w:tab/>
        <w:t>A questo proposito ci sembra quanto meno non chiara la afferma</w:t>
      </w:r>
      <w:r>
        <w:softHyphen/>
      </w:r>
      <w:r>
        <w:t xml:space="preserve">zione contenuta nella nota di de Vivo secondo cui « è lecito... supporre che il pensiero di cui si vuol mostrare il fallimento non sia quello di J. M. </w:t>
      </w:r>
      <w:proofErr w:type="spellStart"/>
      <w:r>
        <w:t>Keynes</w:t>
      </w:r>
      <w:proofErr w:type="spellEnd"/>
      <w:r>
        <w:t xml:space="preserve"> ». Come non è esatto affermare che esiste una coincidenza tra il pensiero di </w:t>
      </w:r>
      <w:proofErr w:type="spellStart"/>
      <w:r>
        <w:t>Keynes</w:t>
      </w:r>
      <w:proofErr w:type="spellEnd"/>
      <w:r>
        <w:t xml:space="preserve"> e quello dei k</w:t>
      </w:r>
      <w:r>
        <w:t xml:space="preserve">eynesiani, cosi non è esatto affermare che esiste una netta separazione. Ne segue che una analisi critica delle basi teoriche del </w:t>
      </w:r>
      <w:proofErr w:type="spellStart"/>
      <w:r>
        <w:t>keynesismo</w:t>
      </w:r>
      <w:proofErr w:type="spellEnd"/>
      <w:r>
        <w:t xml:space="preserve"> deve coinvolgere, pur con le dovute distinzioni, sia il pensiero dell’autore della </w:t>
      </w:r>
      <w:r>
        <w:rPr>
          <w:rStyle w:val="NotaapidipaginaCorsivo"/>
        </w:rPr>
        <w:t>Teoria generale</w:t>
      </w:r>
      <w:r>
        <w:t xml:space="preserve"> che quello dei s</w:t>
      </w:r>
      <w:r>
        <w:t xml:space="preserve">uoi continuatori (riguardo al fatto di aver riportato più o meno correttamente il pensiero di </w:t>
      </w:r>
      <w:proofErr w:type="spellStart"/>
      <w:r>
        <w:t>Keynes</w:t>
      </w:r>
      <w:proofErr w:type="spellEnd"/>
      <w:r>
        <w:t xml:space="preserve"> cfr. oltre).</w:t>
      </w:r>
    </w:p>
  </w:footnote>
  <w:footnote w:id="14">
    <w:p w:rsidR="006E30F6" w:rsidRDefault="00ED0A5D">
      <w:pPr>
        <w:pStyle w:val="Notaapidipagina0"/>
        <w:shd w:val="clear" w:color="auto" w:fill="auto"/>
        <w:tabs>
          <w:tab w:val="left" w:pos="485"/>
        </w:tabs>
        <w:spacing w:line="163" w:lineRule="exact"/>
        <w:ind w:right="20" w:firstLine="340"/>
        <w:jc w:val="both"/>
      </w:pPr>
      <w:r>
        <w:rPr>
          <w:vertAlign w:val="superscript"/>
        </w:rPr>
        <w:footnoteRef/>
      </w:r>
      <w:r>
        <w:tab/>
        <w:t xml:space="preserve">Rimane tra l’altro in piedi la questione, ancora non del tutto limpida o pacifica in teoria economica, su cosa si debba intendere per breve </w:t>
      </w:r>
      <w:r>
        <w:t xml:space="preserve">e cosa per lungo periodo. Non si dimentichi che </w:t>
      </w:r>
      <w:proofErr w:type="spellStart"/>
      <w:r>
        <w:t>Keynes</w:t>
      </w:r>
      <w:proofErr w:type="spellEnd"/>
      <w:r>
        <w:t xml:space="preserve"> utilizzava una definizione molto particolare, e per questo molto precisa, di breve periodo, secondo la quale nel breve periodo è dato l’ammontare di capacità produttiva nel sistema.</w:t>
      </w:r>
    </w:p>
  </w:footnote>
  <w:footnote w:id="15">
    <w:p w:rsidR="006E30F6" w:rsidRDefault="00ED0A5D">
      <w:pPr>
        <w:pStyle w:val="Notaapidipagina0"/>
        <w:numPr>
          <w:ilvl w:val="0"/>
          <w:numId w:val="1"/>
        </w:numPr>
        <w:shd w:val="clear" w:color="auto" w:fill="auto"/>
        <w:tabs>
          <w:tab w:val="left" w:pos="480"/>
        </w:tabs>
        <w:spacing w:line="163" w:lineRule="exact"/>
        <w:ind w:right="20" w:firstLine="340"/>
        <w:jc w:val="both"/>
      </w:pPr>
      <w:r>
        <w:t>E con questo non si</w:t>
      </w:r>
      <w:r>
        <w:t xml:space="preserve"> vuole certo accettare la tesi neoclassica di un </w:t>
      </w:r>
      <w:proofErr w:type="spellStart"/>
      <w:r>
        <w:t>Keynes</w:t>
      </w:r>
      <w:proofErr w:type="spellEnd"/>
      <w:r>
        <w:t xml:space="preserve"> teorico di un caso particolare in cui viene a trovarsi il mercato. Non si negherà certo qui il fatto che il mercato capitalistico non sia strut</w:t>
      </w:r>
      <w:r>
        <w:softHyphen/>
        <w:t xml:space="preserve">turalmente in grado di assicurare la piena occupazione. </w:t>
      </w:r>
      <w:r>
        <w:t xml:space="preserve">11 fatto che </w:t>
      </w:r>
      <w:proofErr w:type="spellStart"/>
      <w:r>
        <w:t>Keynes</w:t>
      </w:r>
      <w:proofErr w:type="spellEnd"/>
    </w:p>
  </w:footnote>
  <w:footnote w:id="16">
    <w:p w:rsidR="006E30F6" w:rsidRDefault="00ED0A5D">
      <w:pPr>
        <w:pStyle w:val="Notaapidipagina0"/>
        <w:shd w:val="clear" w:color="auto" w:fill="auto"/>
        <w:tabs>
          <w:tab w:val="left" w:pos="485"/>
        </w:tabs>
        <w:spacing w:line="163" w:lineRule="exact"/>
        <w:ind w:right="20" w:firstLine="340"/>
        <w:jc w:val="both"/>
      </w:pPr>
      <w:r>
        <w:rPr>
          <w:vertAlign w:val="superscript"/>
        </w:rPr>
        <w:footnoteRef/>
      </w:r>
      <w:r>
        <w:tab/>
        <w:t>Fino a cadere nel mistificatorio problema delle « compatibilità » quali appunto: accrescere il consumo-accrescere l’investimento, accrescere la do</w:t>
      </w:r>
      <w:r>
        <w:softHyphen/>
        <w:t xml:space="preserve">manda </w:t>
      </w:r>
      <w:proofErr w:type="spellStart"/>
      <w:r>
        <w:t>globale-controllare</w:t>
      </w:r>
      <w:proofErr w:type="spellEnd"/>
      <w:r>
        <w:t xml:space="preserve"> l’inflazione, accrescere la domanda </w:t>
      </w:r>
      <w:proofErr w:type="spellStart"/>
      <w:r>
        <w:t>interna-con-</w:t>
      </w:r>
      <w:proofErr w:type="spellEnd"/>
      <w:r>
        <w:t xml:space="preserve"> </w:t>
      </w:r>
      <w:proofErr w:type="spellStart"/>
      <w:r>
        <w:t>trollare</w:t>
      </w:r>
      <w:proofErr w:type="spellEnd"/>
      <w:r>
        <w:t xml:space="preserve"> il </w:t>
      </w:r>
      <w:r>
        <w:t>saldo della bilancia dei pagamenti.</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0F6" w:rsidRDefault="006E30F6">
    <w:pPr>
      <w:rPr>
        <w:sz w:val="2"/>
        <w:szCs w:val="2"/>
      </w:rPr>
    </w:pPr>
    <w:r w:rsidRPr="006E30F6">
      <w:pict>
        <v:shapetype id="_x0000_t202" coordsize="21600,21600" o:spt="202" path="m,l,21600r21600,l21600,xe">
          <v:stroke joinstyle="miter"/>
          <v:path gradientshapeok="t" o:connecttype="rect"/>
        </v:shapetype>
        <v:shape id="_x0000_s2052" type="#_x0000_t202" style="position:absolute;margin-left:159.45pt;margin-top:139.8pt;width:281.05pt;height:6.95pt;z-index:-188744064;mso-wrap-style:none;mso-wrap-distance-left:5pt;mso-wrap-distance-right:5pt;mso-position-horizontal-relative:page;mso-position-vertical-relative:page" wrapcoords="0 0" filled="f" stroked="f">
          <v:textbox style="mso-fit-shape-to-text:t" inset="0,0,0,0">
            <w:txbxContent>
              <w:p w:rsidR="006E30F6" w:rsidRDefault="006E30F6">
                <w:pPr>
                  <w:pStyle w:val="Intestazioneopidipagina0"/>
                  <w:shd w:val="clear" w:color="auto" w:fill="auto"/>
                  <w:tabs>
                    <w:tab w:val="right" w:pos="5621"/>
                  </w:tabs>
                  <w:spacing w:line="240" w:lineRule="auto"/>
                </w:pPr>
                <w:r>
                  <w:fldChar w:fldCharType="begin"/>
                </w:r>
                <w:r>
                  <w:instrText xml:space="preserve"> PAGE \* MERGEFORMAT </w:instrText>
                </w:r>
                <w:r>
                  <w:fldChar w:fldCharType="separate"/>
                </w:r>
                <w:r w:rsidR="00ED0A5D" w:rsidRPr="00ED0A5D">
                  <w:rPr>
                    <w:rStyle w:val="Intestazioneopidipagina13ptNoncorsivo"/>
                    <w:noProof/>
                  </w:rPr>
                  <w:t>152</w:t>
                </w:r>
                <w:r>
                  <w:fldChar w:fldCharType="end"/>
                </w:r>
                <w:r w:rsidR="00ED0A5D">
                  <w:rPr>
                    <w:rStyle w:val="Intestazioneopidipagina13ptNoncorsivo"/>
                  </w:rPr>
                  <w:tab/>
                </w:r>
                <w:r w:rsidR="00ED0A5D">
                  <w:rPr>
                    <w:rStyle w:val="Intestazioneopidipagina1"/>
                    <w:i/>
                    <w:iCs/>
                  </w:rPr>
                  <w:t>Giancarlo de Vivo</w:t>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0F6" w:rsidRDefault="006E30F6">
    <w:pPr>
      <w:rPr>
        <w:sz w:val="2"/>
        <w:szCs w:val="2"/>
      </w:rPr>
    </w:pPr>
    <w:r w:rsidRPr="006E30F6">
      <w:pict>
        <v:shapetype id="_x0000_t202" coordsize="21600,21600" o:spt="202" path="m,l,21600r21600,l21600,xe">
          <v:stroke joinstyle="miter"/>
          <v:path gradientshapeok="t" o:connecttype="rect"/>
        </v:shapetype>
        <v:shape id="_x0000_s2051" type="#_x0000_t202" style="position:absolute;margin-left:158.95pt;margin-top:139.3pt;width:280.55pt;height:8.15pt;z-index:-188744063;mso-wrap-style:none;mso-wrap-distance-left:5pt;mso-wrap-distance-right:5pt;mso-position-horizontal-relative:page;mso-position-vertical-relative:page" wrapcoords="0 0" filled="f" stroked="f">
          <v:textbox style="mso-fit-shape-to-text:t" inset="0,0,0,0">
            <w:txbxContent>
              <w:p w:rsidR="006E30F6" w:rsidRDefault="00ED0A5D">
                <w:pPr>
                  <w:pStyle w:val="Intestazioneopidipagina0"/>
                  <w:shd w:val="clear" w:color="auto" w:fill="auto"/>
                  <w:tabs>
                    <w:tab w:val="right" w:pos="5611"/>
                  </w:tabs>
                  <w:spacing w:line="240" w:lineRule="auto"/>
                </w:pPr>
                <w:r>
                  <w:rPr>
                    <w:rStyle w:val="Intestazioneopidipagina1"/>
                    <w:i/>
                    <w:iCs/>
                  </w:rPr>
                  <w:t>A proposito del</w:t>
                </w:r>
                <w:r>
                  <w:rPr>
                    <w:rStyle w:val="Intestazioneopidipagina115ptNoncorsivo"/>
                  </w:rPr>
                  <w:t xml:space="preserve"> « </w:t>
                </w:r>
                <w:r>
                  <w:rPr>
                    <w:rStyle w:val="Intestazioneopidipagina1"/>
                    <w:i/>
                    <w:iCs/>
                  </w:rPr>
                  <w:t>pensiero keynesiano</w:t>
                </w:r>
                <w:r>
                  <w:rPr>
                    <w:rStyle w:val="Intestazioneopidipagina115ptNoncorsivo"/>
                  </w:rPr>
                  <w:t xml:space="preserve"> »</w:t>
                </w:r>
                <w:r>
                  <w:rPr>
                    <w:rStyle w:val="Intestazioneopidipagina115ptNoncorsivo"/>
                  </w:rPr>
                  <w:tab/>
                </w:r>
                <w:fldSimple w:instr=" PAGE \* MERGEFORMAT ">
                  <w:r w:rsidRPr="00ED0A5D">
                    <w:rPr>
                      <w:rStyle w:val="Intestazioneopidipagina13ptNoncorsivo0"/>
                      <w:noProof/>
                    </w:rPr>
                    <w:t>153</w:t>
                  </w:r>
                </w:fldSimple>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0F6" w:rsidRDefault="006E30F6">
    <w:pPr>
      <w:rPr>
        <w:sz w:val="2"/>
        <w:szCs w:val="2"/>
      </w:rPr>
    </w:pPr>
    <w:r w:rsidRPr="006E30F6">
      <w:pict>
        <v:shapetype id="_x0000_t202" coordsize="21600,21600" o:spt="202" path="m,l,21600r21600,l21600,xe">
          <v:stroke joinstyle="miter"/>
          <v:path gradientshapeok="t" o:connecttype="rect"/>
        </v:shapetype>
        <v:shape id="_x0000_s2050" type="#_x0000_t202" style="position:absolute;margin-left:159.55pt;margin-top:139.55pt;width:280.8pt;height:6.7pt;z-index:-188744062;mso-wrap-style:none;mso-wrap-distance-left:5pt;mso-wrap-distance-right:5pt;mso-position-horizontal-relative:page;mso-position-vertical-relative:page" wrapcoords="0 0" filled="f" stroked="f">
          <v:textbox style="mso-fit-shape-to-text:t" inset="0,0,0,0">
            <w:txbxContent>
              <w:p w:rsidR="006E30F6" w:rsidRDefault="006E30F6">
                <w:pPr>
                  <w:pStyle w:val="Intestazioneopidipagina0"/>
                  <w:shd w:val="clear" w:color="auto" w:fill="auto"/>
                  <w:tabs>
                    <w:tab w:val="right" w:pos="5616"/>
                  </w:tabs>
                  <w:spacing w:line="240" w:lineRule="auto"/>
                </w:pPr>
                <w:fldSimple w:instr=" PAGE \* MERGEFORMAT ">
                  <w:r w:rsidR="00ED0A5D" w:rsidRPr="00ED0A5D">
                    <w:rPr>
                      <w:rStyle w:val="Intestazioneopidipagina13ptNoncorsivo"/>
                      <w:noProof/>
                    </w:rPr>
                    <w:t>156</w:t>
                  </w:r>
                </w:fldSimple>
                <w:r w:rsidR="00ED0A5D">
                  <w:rPr>
                    <w:rStyle w:val="Intestazioneopidipagina13ptNoncorsivo"/>
                  </w:rPr>
                  <w:tab/>
                </w:r>
                <w:r w:rsidR="00ED0A5D">
                  <w:rPr>
                    <w:rStyle w:val="Intestazioneopidipagina1"/>
                    <w:i/>
                    <w:iCs/>
                  </w:rPr>
                  <w:t xml:space="preserve">Pier Carlo </w:t>
                </w:r>
                <w:proofErr w:type="spellStart"/>
                <w:r w:rsidR="00ED0A5D">
                  <w:rPr>
                    <w:rStyle w:val="Intestazioneopidipagina1"/>
                    <w:i/>
                    <w:iCs/>
                  </w:rPr>
                  <w:t>Padoan</w:t>
                </w:r>
                <w:proofErr w:type="spellEnd"/>
              </w:p>
            </w:txbxContent>
          </v:textbox>
          <w10:wrap anchorx="page" anchory="pag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0F6" w:rsidRDefault="006E30F6">
    <w:pPr>
      <w:rPr>
        <w:sz w:val="2"/>
        <w:szCs w:val="2"/>
      </w:rPr>
    </w:pPr>
    <w:r w:rsidRPr="006E30F6">
      <w:pict>
        <v:shapetype id="_x0000_t202" coordsize="21600,21600" o:spt="202" path="m,l,21600r21600,l21600,xe">
          <v:stroke joinstyle="miter"/>
          <v:path gradientshapeok="t" o:connecttype="rect"/>
        </v:shapetype>
        <v:shape id="_x0000_s2049" type="#_x0000_t202" style="position:absolute;margin-left:158.35pt;margin-top:139.3pt;width:281.75pt;height:7.9pt;z-index:-188744061;mso-wrap-style:none;mso-wrap-distance-left:5pt;mso-wrap-distance-right:5pt;mso-position-horizontal-relative:page;mso-position-vertical-relative:page" wrapcoords="0 0" filled="f" stroked="f">
          <v:textbox style="mso-fit-shape-to-text:t" inset="0,0,0,0">
            <w:txbxContent>
              <w:p w:rsidR="006E30F6" w:rsidRDefault="00ED0A5D">
                <w:pPr>
                  <w:pStyle w:val="Intestazioneopidipagina0"/>
                  <w:shd w:val="clear" w:color="auto" w:fill="auto"/>
                  <w:tabs>
                    <w:tab w:val="right" w:pos="5635"/>
                  </w:tabs>
                  <w:spacing w:line="240" w:lineRule="auto"/>
                </w:pPr>
                <w:r>
                  <w:rPr>
                    <w:rStyle w:val="Intestazioneopidipagina2"/>
                    <w:i/>
                    <w:iCs/>
                  </w:rPr>
                  <w:t>Risposta a de Vivo</w:t>
                </w:r>
                <w:r>
                  <w:rPr>
                    <w:rStyle w:val="Intestazioneopidipagina2"/>
                    <w:i/>
                    <w:iCs/>
                  </w:rPr>
                  <w:tab/>
                </w:r>
                <w:fldSimple w:instr=" PAGE \* MERGEFORMAT ">
                  <w:r w:rsidRPr="00ED0A5D">
                    <w:rPr>
                      <w:rStyle w:val="Intestazioneopidipagina13ptNoncorsivo"/>
                      <w:noProof/>
                    </w:rPr>
                    <w:t>157</w:t>
                  </w:r>
                </w:fldSimple>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013D1"/>
    <w:multiLevelType w:val="multilevel"/>
    <w:tmpl w:val="B530709C"/>
    <w:lvl w:ilvl="0">
      <w:start w:val="1"/>
      <w:numFmt w:val="bullet"/>
      <w:lvlText w:val="*"/>
      <w:lvlJc w:val="left"/>
      <w:rPr>
        <w:rFonts w:ascii="Angsana New" w:eastAsia="Angsana New" w:hAnsi="Angsana New" w:cs="Angsana New"/>
        <w:b w:val="0"/>
        <w:bCs w:val="0"/>
        <w:i w:val="0"/>
        <w:iCs w:val="0"/>
        <w:smallCaps w:val="0"/>
        <w:strike w:val="0"/>
        <w:color w:val="000000"/>
        <w:spacing w:val="0"/>
        <w:w w:val="100"/>
        <w:position w:val="0"/>
        <w:sz w:val="25"/>
        <w:szCs w:val="25"/>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150353"/>
    <w:multiLevelType w:val="multilevel"/>
    <w:tmpl w:val="46BAB6E6"/>
    <w:lvl w:ilvl="0">
      <w:numFmt w:val="decimal"/>
      <w:lvlText w:val="%1"/>
      <w:lvlJc w:val="left"/>
      <w:rPr>
        <w:rFonts w:ascii="Angsana New" w:eastAsia="Angsana New" w:hAnsi="Angsana New" w:cs="Angsana New"/>
        <w:b w:val="0"/>
        <w:bCs w:val="0"/>
        <w:i w:val="0"/>
        <w:iCs w:val="0"/>
        <w:smallCaps w:val="0"/>
        <w:strike w:val="0"/>
        <w:color w:val="000000"/>
        <w:spacing w:val="0"/>
        <w:w w:val="100"/>
        <w:position w:val="0"/>
        <w:sz w:val="29"/>
        <w:szCs w:val="29"/>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C726DE2"/>
    <w:multiLevelType w:val="multilevel"/>
    <w:tmpl w:val="6D025674"/>
    <w:lvl w:ilvl="0">
      <w:start w:val="3"/>
      <w:numFmt w:val="decimal"/>
      <w:lvlText w:val="%1"/>
      <w:lvlJc w:val="left"/>
      <w:rPr>
        <w:rFonts w:ascii="Angsana New" w:eastAsia="Angsana New" w:hAnsi="Angsana New" w:cs="Angsana New"/>
        <w:b w:val="0"/>
        <w:bCs w:val="0"/>
        <w:i w:val="0"/>
        <w:iCs w:val="0"/>
        <w:smallCaps w:val="0"/>
        <w:strike w:val="0"/>
        <w:color w:val="000000"/>
        <w:spacing w:val="0"/>
        <w:w w:val="100"/>
        <w:position w:val="0"/>
        <w:sz w:val="25"/>
        <w:szCs w:val="25"/>
        <w:u w:val="none"/>
        <w:vertAlign w:val="superscript"/>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CA45257"/>
    <w:multiLevelType w:val="multilevel"/>
    <w:tmpl w:val="1C381194"/>
    <w:lvl w:ilvl="0">
      <w:start w:val="1"/>
      <w:numFmt w:val="bullet"/>
      <w:lvlText w:val="*"/>
      <w:lvlJc w:val="left"/>
      <w:rPr>
        <w:rFonts w:ascii="Angsana New" w:eastAsia="Angsana New" w:hAnsi="Angsana New" w:cs="Angsana New"/>
        <w:b w:val="0"/>
        <w:bCs w:val="0"/>
        <w:i/>
        <w:iCs/>
        <w:smallCaps w:val="0"/>
        <w:strike w:val="0"/>
        <w:color w:val="000000"/>
        <w:spacing w:val="0"/>
        <w:w w:val="100"/>
        <w:position w:val="0"/>
        <w:sz w:val="25"/>
        <w:szCs w:val="25"/>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BA136D7"/>
    <w:multiLevelType w:val="multilevel"/>
    <w:tmpl w:val="14FED99E"/>
    <w:lvl w:ilvl="0">
      <w:start w:val="1"/>
      <w:numFmt w:val="decimal"/>
      <w:lvlText w:val="%1."/>
      <w:lvlJc w:val="left"/>
      <w:rPr>
        <w:rFonts w:ascii="Angsana New" w:eastAsia="Angsana New" w:hAnsi="Angsana New" w:cs="Angsana New"/>
        <w:b w:val="0"/>
        <w:bCs w:val="0"/>
        <w:i w:val="0"/>
        <w:iCs w:val="0"/>
        <w:smallCaps w:val="0"/>
        <w:strike w:val="0"/>
        <w:color w:val="000000"/>
        <w:spacing w:val="0"/>
        <w:w w:val="100"/>
        <w:position w:val="0"/>
        <w:sz w:val="29"/>
        <w:szCs w:val="29"/>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evenAndOddHeaders/>
  <w:drawingGridHorizontalSpacing w:val="181"/>
  <w:drawingGridVerticalSpacing w:val="181"/>
  <w:characterSpacingControl w:val="compressPunctuation"/>
  <w:hdrShapeDefaults>
    <o:shapedefaults v:ext="edit" spidmax="3074"/>
    <o:shapelayout v:ext="edit">
      <o:idmap v:ext="edit" data="2"/>
    </o:shapelayout>
  </w:hdrShapeDefaults>
  <w:footnotePr>
    <w:footnote w:id="-1"/>
    <w:footnote w:id="0"/>
  </w:footnotePr>
  <w:endnotePr>
    <w:endnote w:id="-1"/>
    <w:endnote w:id="0"/>
  </w:endnotePr>
  <w:compat>
    <w:doNotExpandShiftReturn/>
  </w:compat>
  <w:rsids>
    <w:rsidRoot w:val="006E30F6"/>
    <w:rsid w:val="006E30F6"/>
    <w:rsid w:val="00ED0A5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it-IT" w:eastAsia="it-IT"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sid w:val="006E30F6"/>
    <w:rPr>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rsid w:val="006E30F6"/>
    <w:rPr>
      <w:color w:val="0066CC"/>
      <w:u w:val="single"/>
    </w:rPr>
  </w:style>
  <w:style w:type="character" w:customStyle="1" w:styleId="Notaapidipagina">
    <w:name w:val="Nota a piè di pagina_"/>
    <w:basedOn w:val="Carpredefinitoparagrafo"/>
    <w:link w:val="Notaapidipagina0"/>
    <w:rsid w:val="006E30F6"/>
    <w:rPr>
      <w:rFonts w:ascii="Angsana New" w:eastAsia="Angsana New" w:hAnsi="Angsana New" w:cs="Angsana New"/>
      <w:b w:val="0"/>
      <w:bCs w:val="0"/>
      <w:i w:val="0"/>
      <w:iCs w:val="0"/>
      <w:smallCaps w:val="0"/>
      <w:strike w:val="0"/>
      <w:sz w:val="25"/>
      <w:szCs w:val="25"/>
      <w:u w:val="none"/>
    </w:rPr>
  </w:style>
  <w:style w:type="character" w:customStyle="1" w:styleId="Notaapidipagina10pt">
    <w:name w:val="Nota a piè di pagina + 10 pt"/>
    <w:basedOn w:val="Notaapidipagina"/>
    <w:rsid w:val="006E30F6"/>
    <w:rPr>
      <w:color w:val="000000"/>
      <w:spacing w:val="0"/>
      <w:w w:val="100"/>
      <w:position w:val="0"/>
      <w:sz w:val="20"/>
      <w:szCs w:val="20"/>
      <w:lang w:val="it-IT"/>
    </w:rPr>
  </w:style>
  <w:style w:type="character" w:customStyle="1" w:styleId="NotaapidipaginaCorsivo">
    <w:name w:val="Nota a piè di pagina + Corsivo"/>
    <w:basedOn w:val="Notaapidipagina"/>
    <w:rsid w:val="006E30F6"/>
    <w:rPr>
      <w:i/>
      <w:iCs/>
      <w:color w:val="000000"/>
      <w:spacing w:val="0"/>
      <w:w w:val="100"/>
      <w:position w:val="0"/>
      <w:lang w:val="it-IT"/>
    </w:rPr>
  </w:style>
  <w:style w:type="character" w:customStyle="1" w:styleId="Notaapidipagina1">
    <w:name w:val="Nota a piè di pagina"/>
    <w:basedOn w:val="Notaapidipagina"/>
    <w:rsid w:val="006E30F6"/>
    <w:rPr>
      <w:color w:val="000000"/>
      <w:spacing w:val="0"/>
      <w:w w:val="100"/>
      <w:position w:val="0"/>
      <w:lang w:val="it-IT"/>
    </w:rPr>
  </w:style>
  <w:style w:type="character" w:customStyle="1" w:styleId="Notaapidipagina10pt0">
    <w:name w:val="Nota a piè di pagina + 10 pt"/>
    <w:basedOn w:val="Notaapidipagina"/>
    <w:rsid w:val="006E30F6"/>
    <w:rPr>
      <w:color w:val="000000"/>
      <w:spacing w:val="0"/>
      <w:w w:val="100"/>
      <w:position w:val="0"/>
      <w:sz w:val="20"/>
      <w:szCs w:val="20"/>
      <w:lang w:val="it-IT"/>
    </w:rPr>
  </w:style>
  <w:style w:type="character" w:customStyle="1" w:styleId="NotaapidipaginaCorsivo0">
    <w:name w:val="Nota a piè di pagina + Corsivo"/>
    <w:basedOn w:val="Notaapidipagina"/>
    <w:rsid w:val="006E30F6"/>
    <w:rPr>
      <w:i/>
      <w:iCs/>
      <w:color w:val="000000"/>
      <w:spacing w:val="0"/>
      <w:w w:val="100"/>
      <w:position w:val="0"/>
      <w:lang w:val="it-IT"/>
    </w:rPr>
  </w:style>
  <w:style w:type="character" w:customStyle="1" w:styleId="Notaapidipagina115ptGrassetto">
    <w:name w:val="Nota a piè di pagina + 11;5 pt;Grassetto"/>
    <w:basedOn w:val="Notaapidipagina"/>
    <w:rsid w:val="006E30F6"/>
    <w:rPr>
      <w:b/>
      <w:bCs/>
      <w:color w:val="000000"/>
      <w:spacing w:val="0"/>
      <w:w w:val="100"/>
      <w:position w:val="0"/>
      <w:sz w:val="23"/>
      <w:szCs w:val="23"/>
      <w:lang w:val="it-IT"/>
    </w:rPr>
  </w:style>
  <w:style w:type="character" w:customStyle="1" w:styleId="Notaapidipagina115ptGrassettoMaiuscoletto">
    <w:name w:val="Nota a piè di pagina + 11;5 pt;Grassetto;Maiuscoletto"/>
    <w:basedOn w:val="Notaapidipagina"/>
    <w:rsid w:val="006E30F6"/>
    <w:rPr>
      <w:b/>
      <w:bCs/>
      <w:smallCaps/>
      <w:color w:val="000000"/>
      <w:spacing w:val="0"/>
      <w:w w:val="100"/>
      <w:position w:val="0"/>
      <w:sz w:val="23"/>
      <w:szCs w:val="23"/>
      <w:lang w:val="it-IT"/>
    </w:rPr>
  </w:style>
  <w:style w:type="character" w:customStyle="1" w:styleId="Notaapidipagina2">
    <w:name w:val="Nota a piè di pagina (2)_"/>
    <w:basedOn w:val="Carpredefinitoparagrafo"/>
    <w:link w:val="Notaapidipagina20"/>
    <w:rsid w:val="006E30F6"/>
    <w:rPr>
      <w:rFonts w:ascii="Angsana New" w:eastAsia="Angsana New" w:hAnsi="Angsana New" w:cs="Angsana New"/>
      <w:b w:val="0"/>
      <w:bCs w:val="0"/>
      <w:i/>
      <w:iCs/>
      <w:smallCaps w:val="0"/>
      <w:strike w:val="0"/>
      <w:sz w:val="25"/>
      <w:szCs w:val="25"/>
      <w:u w:val="none"/>
    </w:rPr>
  </w:style>
  <w:style w:type="character" w:customStyle="1" w:styleId="Notaapidipagina2Noncorsivo">
    <w:name w:val="Nota a piè di pagina (2) + Non corsivo"/>
    <w:basedOn w:val="Notaapidipagina2"/>
    <w:rsid w:val="006E30F6"/>
    <w:rPr>
      <w:i/>
      <w:iCs/>
      <w:color w:val="000000"/>
      <w:spacing w:val="0"/>
      <w:w w:val="100"/>
      <w:position w:val="0"/>
      <w:lang w:val="it-IT"/>
    </w:rPr>
  </w:style>
  <w:style w:type="character" w:customStyle="1" w:styleId="Notaapidipagina210ptNoncorsivo">
    <w:name w:val="Nota a piè di pagina (2) + 10 pt;Non corsivo"/>
    <w:basedOn w:val="Notaapidipagina2"/>
    <w:rsid w:val="006E30F6"/>
    <w:rPr>
      <w:i/>
      <w:iCs/>
      <w:color w:val="000000"/>
      <w:spacing w:val="0"/>
      <w:w w:val="100"/>
      <w:position w:val="0"/>
      <w:sz w:val="20"/>
      <w:szCs w:val="20"/>
      <w:lang w:val="it-IT"/>
    </w:rPr>
  </w:style>
  <w:style w:type="character" w:customStyle="1" w:styleId="CorpodeltestoExact">
    <w:name w:val="Corpo del testo Exact"/>
    <w:basedOn w:val="Carpredefinitoparagrafo"/>
    <w:rsid w:val="006E30F6"/>
    <w:rPr>
      <w:rFonts w:ascii="Angsana New" w:eastAsia="Angsana New" w:hAnsi="Angsana New" w:cs="Angsana New"/>
      <w:b w:val="0"/>
      <w:bCs w:val="0"/>
      <w:i w:val="0"/>
      <w:iCs w:val="0"/>
      <w:smallCaps w:val="0"/>
      <w:strike w:val="0"/>
      <w:spacing w:val="2"/>
      <w:sz w:val="28"/>
      <w:szCs w:val="28"/>
      <w:u w:val="none"/>
    </w:rPr>
  </w:style>
  <w:style w:type="character" w:customStyle="1" w:styleId="Corpodeltesto4Exact">
    <w:name w:val="Corpo del testo (4) Exact"/>
    <w:basedOn w:val="Carpredefinitoparagrafo"/>
    <w:link w:val="Corpodeltesto4"/>
    <w:rsid w:val="006E30F6"/>
    <w:rPr>
      <w:rFonts w:ascii="Angsana New" w:eastAsia="Angsana New" w:hAnsi="Angsana New" w:cs="Angsana New"/>
      <w:b/>
      <w:bCs/>
      <w:i w:val="0"/>
      <w:iCs w:val="0"/>
      <w:smallCaps w:val="0"/>
      <w:strike w:val="0"/>
      <w:spacing w:val="8"/>
      <w:sz w:val="42"/>
      <w:szCs w:val="42"/>
      <w:u w:val="none"/>
    </w:rPr>
  </w:style>
  <w:style w:type="character" w:customStyle="1" w:styleId="Corpodeltesto5Exact">
    <w:name w:val="Corpo del testo (5) Exact"/>
    <w:basedOn w:val="Carpredefinitoparagrafo"/>
    <w:link w:val="Corpodeltesto5"/>
    <w:rsid w:val="006E30F6"/>
    <w:rPr>
      <w:rFonts w:ascii="Sylfaen" w:eastAsia="Sylfaen" w:hAnsi="Sylfaen" w:cs="Sylfaen"/>
      <w:b w:val="0"/>
      <w:bCs w:val="0"/>
      <w:i w:val="0"/>
      <w:iCs w:val="0"/>
      <w:smallCaps w:val="0"/>
      <w:strike w:val="0"/>
      <w:spacing w:val="7"/>
      <w:sz w:val="30"/>
      <w:szCs w:val="30"/>
      <w:u w:val="none"/>
    </w:rPr>
  </w:style>
  <w:style w:type="character" w:customStyle="1" w:styleId="Intestazione1">
    <w:name w:val="Intestazione #1_"/>
    <w:basedOn w:val="Carpredefinitoparagrafo"/>
    <w:link w:val="Intestazione10"/>
    <w:rsid w:val="006E30F6"/>
    <w:rPr>
      <w:rFonts w:ascii="Angsana New" w:eastAsia="Angsana New" w:hAnsi="Angsana New" w:cs="Angsana New"/>
      <w:b w:val="0"/>
      <w:bCs w:val="0"/>
      <w:i w:val="0"/>
      <w:iCs w:val="0"/>
      <w:smallCaps w:val="0"/>
      <w:strike w:val="0"/>
      <w:spacing w:val="-30"/>
      <w:sz w:val="205"/>
      <w:szCs w:val="205"/>
      <w:u w:val="none"/>
    </w:rPr>
  </w:style>
  <w:style w:type="character" w:customStyle="1" w:styleId="Corpodeltesto2">
    <w:name w:val="Corpo del testo (2)_"/>
    <w:basedOn w:val="Carpredefinitoparagrafo"/>
    <w:link w:val="Corpodeltesto20"/>
    <w:rsid w:val="006E30F6"/>
    <w:rPr>
      <w:rFonts w:ascii="Angsana New" w:eastAsia="Angsana New" w:hAnsi="Angsana New" w:cs="Angsana New"/>
      <w:b w:val="0"/>
      <w:bCs w:val="0"/>
      <w:i w:val="0"/>
      <w:iCs w:val="0"/>
      <w:smallCaps w:val="0"/>
      <w:strike w:val="0"/>
      <w:spacing w:val="30"/>
      <w:sz w:val="44"/>
      <w:szCs w:val="44"/>
      <w:u w:val="none"/>
    </w:rPr>
  </w:style>
  <w:style w:type="character" w:customStyle="1" w:styleId="Corpodeltesto21">
    <w:name w:val="Corpo del testo (2)"/>
    <w:basedOn w:val="Corpodeltesto2"/>
    <w:rsid w:val="006E30F6"/>
    <w:rPr>
      <w:color w:val="FFFFFF"/>
      <w:w w:val="100"/>
      <w:position w:val="0"/>
      <w:lang w:val="it-IT"/>
    </w:rPr>
  </w:style>
  <w:style w:type="character" w:customStyle="1" w:styleId="Corpodeltesto3">
    <w:name w:val="Corpo del testo (3)_"/>
    <w:basedOn w:val="Carpredefinitoparagrafo"/>
    <w:link w:val="Corpodeltesto30"/>
    <w:rsid w:val="006E30F6"/>
    <w:rPr>
      <w:rFonts w:ascii="Sylfaen" w:eastAsia="Sylfaen" w:hAnsi="Sylfaen" w:cs="Sylfaen"/>
      <w:b w:val="0"/>
      <w:bCs w:val="0"/>
      <w:i w:val="0"/>
      <w:iCs w:val="0"/>
      <w:smallCaps w:val="0"/>
      <w:strike w:val="0"/>
      <w:sz w:val="43"/>
      <w:szCs w:val="43"/>
      <w:u w:val="none"/>
    </w:rPr>
  </w:style>
  <w:style w:type="character" w:customStyle="1" w:styleId="Corpodeltesto3195ptCorsivoSpaziatura-1pt">
    <w:name w:val="Corpo del testo (3) + 19;5 pt;Corsivo;Spaziatura -1 pt"/>
    <w:basedOn w:val="Corpodeltesto3"/>
    <w:rsid w:val="006E30F6"/>
    <w:rPr>
      <w:i/>
      <w:iCs/>
      <w:color w:val="000000"/>
      <w:spacing w:val="-30"/>
      <w:w w:val="100"/>
      <w:position w:val="0"/>
      <w:sz w:val="39"/>
      <w:szCs w:val="39"/>
      <w:u w:val="single"/>
      <w:lang w:val="it-IT"/>
    </w:rPr>
  </w:style>
  <w:style w:type="character" w:customStyle="1" w:styleId="Corpodeltesto3195ptCorsivoSpaziatura-1pt0">
    <w:name w:val="Corpo del testo (3) + 19;5 pt;Corsivo;Spaziatura -1 pt"/>
    <w:basedOn w:val="Corpodeltesto3"/>
    <w:rsid w:val="006E30F6"/>
    <w:rPr>
      <w:i/>
      <w:iCs/>
      <w:color w:val="000000"/>
      <w:spacing w:val="-30"/>
      <w:w w:val="100"/>
      <w:position w:val="0"/>
      <w:sz w:val="39"/>
      <w:szCs w:val="39"/>
    </w:rPr>
  </w:style>
  <w:style w:type="character" w:customStyle="1" w:styleId="Intestazione22">
    <w:name w:val="Intestazione #2 (2)_"/>
    <w:basedOn w:val="Carpredefinitoparagrafo"/>
    <w:link w:val="Intestazione220"/>
    <w:rsid w:val="006E30F6"/>
    <w:rPr>
      <w:rFonts w:ascii="Angsana New" w:eastAsia="Angsana New" w:hAnsi="Angsana New" w:cs="Angsana New"/>
      <w:b w:val="0"/>
      <w:bCs w:val="0"/>
      <w:i/>
      <w:iCs/>
      <w:smallCaps w:val="0"/>
      <w:strike w:val="0"/>
      <w:sz w:val="35"/>
      <w:szCs w:val="35"/>
      <w:u w:val="none"/>
    </w:rPr>
  </w:style>
  <w:style w:type="character" w:customStyle="1" w:styleId="Intestazione2">
    <w:name w:val="Intestazione #2_"/>
    <w:basedOn w:val="Carpredefinitoparagrafo"/>
    <w:link w:val="Intestazione20"/>
    <w:rsid w:val="006E30F6"/>
    <w:rPr>
      <w:rFonts w:ascii="Angsana New" w:eastAsia="Angsana New" w:hAnsi="Angsana New" w:cs="Angsana New"/>
      <w:b w:val="0"/>
      <w:bCs w:val="0"/>
      <w:i w:val="0"/>
      <w:iCs w:val="0"/>
      <w:smallCaps w:val="0"/>
      <w:strike w:val="0"/>
      <w:sz w:val="35"/>
      <w:szCs w:val="35"/>
      <w:u w:val="none"/>
    </w:rPr>
  </w:style>
  <w:style w:type="character" w:customStyle="1" w:styleId="Corpodeltesto">
    <w:name w:val="Corpo del testo_"/>
    <w:basedOn w:val="Carpredefinitoparagrafo"/>
    <w:link w:val="Corpodeltesto31"/>
    <w:rsid w:val="006E30F6"/>
    <w:rPr>
      <w:rFonts w:ascii="Angsana New" w:eastAsia="Angsana New" w:hAnsi="Angsana New" w:cs="Angsana New"/>
      <w:b w:val="0"/>
      <w:bCs w:val="0"/>
      <w:i w:val="0"/>
      <w:iCs w:val="0"/>
      <w:smallCaps w:val="0"/>
      <w:strike w:val="0"/>
      <w:sz w:val="29"/>
      <w:szCs w:val="29"/>
      <w:u w:val="none"/>
    </w:rPr>
  </w:style>
  <w:style w:type="character" w:customStyle="1" w:styleId="CorpodeltestoCorsivo">
    <w:name w:val="Corpo del testo + Corsivo"/>
    <w:basedOn w:val="Corpodeltesto"/>
    <w:rsid w:val="006E30F6"/>
    <w:rPr>
      <w:i/>
      <w:iCs/>
      <w:color w:val="000000"/>
      <w:spacing w:val="0"/>
      <w:w w:val="100"/>
      <w:position w:val="0"/>
      <w:lang w:val="it-IT"/>
    </w:rPr>
  </w:style>
  <w:style w:type="character" w:customStyle="1" w:styleId="Intestazioneopidipagina">
    <w:name w:val="Intestazione o piè di pagina_"/>
    <w:basedOn w:val="Carpredefinitoparagrafo"/>
    <w:link w:val="Intestazioneopidipagina0"/>
    <w:rsid w:val="006E30F6"/>
    <w:rPr>
      <w:rFonts w:ascii="Angsana New" w:eastAsia="Angsana New" w:hAnsi="Angsana New" w:cs="Angsana New"/>
      <w:b w:val="0"/>
      <w:bCs w:val="0"/>
      <w:i/>
      <w:iCs/>
      <w:smallCaps w:val="0"/>
      <w:strike w:val="0"/>
      <w:u w:val="none"/>
    </w:rPr>
  </w:style>
  <w:style w:type="character" w:customStyle="1" w:styleId="Intestazioneopidipagina13ptNoncorsivo">
    <w:name w:val="Intestazione o piè di pagina + 13 pt;Non corsivo"/>
    <w:basedOn w:val="Intestazioneopidipagina"/>
    <w:rsid w:val="006E30F6"/>
    <w:rPr>
      <w:i/>
      <w:iCs/>
      <w:color w:val="000000"/>
      <w:spacing w:val="0"/>
      <w:w w:val="100"/>
      <w:position w:val="0"/>
      <w:sz w:val="26"/>
      <w:szCs w:val="26"/>
      <w:lang w:val="it-IT"/>
    </w:rPr>
  </w:style>
  <w:style w:type="character" w:customStyle="1" w:styleId="Intestazioneopidipagina1">
    <w:name w:val="Intestazione o piè di pagina"/>
    <w:basedOn w:val="Intestazioneopidipagina"/>
    <w:rsid w:val="006E30F6"/>
    <w:rPr>
      <w:color w:val="000000"/>
      <w:spacing w:val="0"/>
      <w:w w:val="100"/>
      <w:position w:val="0"/>
      <w:sz w:val="24"/>
      <w:szCs w:val="24"/>
      <w:lang w:val="it-IT"/>
    </w:rPr>
  </w:style>
  <w:style w:type="character" w:customStyle="1" w:styleId="Corpodeltesto6">
    <w:name w:val="Corpo del testo (6)_"/>
    <w:basedOn w:val="Carpredefinitoparagrafo"/>
    <w:link w:val="Corpodeltesto60"/>
    <w:rsid w:val="006E30F6"/>
    <w:rPr>
      <w:rFonts w:ascii="Angsana New" w:eastAsia="Angsana New" w:hAnsi="Angsana New" w:cs="Angsana New"/>
      <w:b w:val="0"/>
      <w:bCs w:val="0"/>
      <w:i w:val="0"/>
      <w:iCs w:val="0"/>
      <w:smallCaps w:val="0"/>
      <w:strike w:val="0"/>
      <w:sz w:val="25"/>
      <w:szCs w:val="25"/>
      <w:u w:val="none"/>
    </w:rPr>
  </w:style>
  <w:style w:type="character" w:customStyle="1" w:styleId="Corpodeltesto6Corsivo">
    <w:name w:val="Corpo del testo (6) + Corsivo"/>
    <w:basedOn w:val="Corpodeltesto6"/>
    <w:rsid w:val="006E30F6"/>
    <w:rPr>
      <w:i/>
      <w:iCs/>
      <w:color w:val="000000"/>
      <w:spacing w:val="0"/>
      <w:w w:val="100"/>
      <w:position w:val="0"/>
      <w:lang w:val="it-IT"/>
    </w:rPr>
  </w:style>
  <w:style w:type="character" w:customStyle="1" w:styleId="Intestazioneopidipagina115ptNoncorsivo">
    <w:name w:val="Intestazione o piè di pagina + 11;5 pt;Non corsivo"/>
    <w:basedOn w:val="Intestazioneopidipagina"/>
    <w:rsid w:val="006E30F6"/>
    <w:rPr>
      <w:i/>
      <w:iCs/>
      <w:color w:val="000000"/>
      <w:spacing w:val="0"/>
      <w:w w:val="100"/>
      <w:position w:val="0"/>
      <w:sz w:val="23"/>
      <w:szCs w:val="23"/>
      <w:lang w:val="it-IT"/>
    </w:rPr>
  </w:style>
  <w:style w:type="character" w:customStyle="1" w:styleId="Intestazioneopidipagina13ptNoncorsivo0">
    <w:name w:val="Intestazione o piè di pagina + 13 pt;Non corsivo"/>
    <w:basedOn w:val="Intestazioneopidipagina"/>
    <w:rsid w:val="006E30F6"/>
    <w:rPr>
      <w:i/>
      <w:iCs/>
      <w:color w:val="000000"/>
      <w:spacing w:val="0"/>
      <w:w w:val="100"/>
      <w:position w:val="0"/>
      <w:sz w:val="26"/>
      <w:szCs w:val="26"/>
    </w:rPr>
  </w:style>
  <w:style w:type="character" w:customStyle="1" w:styleId="Corpodeltesto1">
    <w:name w:val="Corpo del testo1"/>
    <w:basedOn w:val="Corpodeltesto"/>
    <w:rsid w:val="006E30F6"/>
    <w:rPr>
      <w:color w:val="000000"/>
      <w:spacing w:val="0"/>
      <w:w w:val="100"/>
      <w:position w:val="0"/>
      <w:lang w:val="it-IT"/>
    </w:rPr>
  </w:style>
  <w:style w:type="character" w:customStyle="1" w:styleId="CorpodeltestoCorsivo0">
    <w:name w:val="Corpo del testo + Corsivo"/>
    <w:basedOn w:val="Corpodeltesto"/>
    <w:rsid w:val="006E30F6"/>
    <w:rPr>
      <w:i/>
      <w:iCs/>
      <w:color w:val="000000"/>
      <w:spacing w:val="0"/>
      <w:w w:val="100"/>
      <w:position w:val="0"/>
      <w:lang w:val="it-IT"/>
    </w:rPr>
  </w:style>
  <w:style w:type="character" w:customStyle="1" w:styleId="Corpodeltesto7">
    <w:name w:val="Corpo del testo (7)_"/>
    <w:basedOn w:val="Carpredefinitoparagrafo"/>
    <w:link w:val="Corpodeltesto70"/>
    <w:rsid w:val="006E30F6"/>
    <w:rPr>
      <w:rFonts w:ascii="Angsana New" w:eastAsia="Angsana New" w:hAnsi="Angsana New" w:cs="Angsana New"/>
      <w:b w:val="0"/>
      <w:bCs w:val="0"/>
      <w:i/>
      <w:iCs/>
      <w:smallCaps w:val="0"/>
      <w:strike w:val="0"/>
      <w:sz w:val="29"/>
      <w:szCs w:val="29"/>
      <w:u w:val="none"/>
    </w:rPr>
  </w:style>
  <w:style w:type="character" w:customStyle="1" w:styleId="Intestazioneopidipagina2">
    <w:name w:val="Intestazione o piè di pagina"/>
    <w:basedOn w:val="Intestazioneopidipagina"/>
    <w:rsid w:val="006E30F6"/>
    <w:rPr>
      <w:color w:val="000000"/>
      <w:spacing w:val="0"/>
      <w:w w:val="100"/>
      <w:position w:val="0"/>
      <w:sz w:val="24"/>
      <w:szCs w:val="24"/>
      <w:lang w:val="it-IT"/>
    </w:rPr>
  </w:style>
  <w:style w:type="character" w:customStyle="1" w:styleId="Corpodeltesto22">
    <w:name w:val="Corpo del testo2"/>
    <w:basedOn w:val="Corpodeltesto"/>
    <w:rsid w:val="006E30F6"/>
    <w:rPr>
      <w:color w:val="000000"/>
      <w:spacing w:val="0"/>
      <w:w w:val="100"/>
      <w:position w:val="0"/>
      <w:lang w:val="it-IT"/>
    </w:rPr>
  </w:style>
  <w:style w:type="character" w:customStyle="1" w:styleId="Corpodeltesto61">
    <w:name w:val="Corpo del testo (6)"/>
    <w:basedOn w:val="Corpodeltesto6"/>
    <w:rsid w:val="006E30F6"/>
    <w:rPr>
      <w:color w:val="000000"/>
      <w:spacing w:val="0"/>
      <w:w w:val="100"/>
      <w:position w:val="0"/>
      <w:lang w:val="it-IT"/>
    </w:rPr>
  </w:style>
  <w:style w:type="character" w:customStyle="1" w:styleId="Corpodeltesto62">
    <w:name w:val="Corpo del testo (6)"/>
    <w:basedOn w:val="Corpodeltesto6"/>
    <w:rsid w:val="006E30F6"/>
    <w:rPr>
      <w:color w:val="000000"/>
      <w:spacing w:val="0"/>
      <w:w w:val="100"/>
      <w:position w:val="0"/>
      <w:lang w:val="it-IT"/>
    </w:rPr>
  </w:style>
  <w:style w:type="paragraph" w:customStyle="1" w:styleId="Notaapidipagina0">
    <w:name w:val="Nota a piè di pagina"/>
    <w:basedOn w:val="Normale"/>
    <w:link w:val="Notaapidipagina"/>
    <w:rsid w:val="006E30F6"/>
    <w:pPr>
      <w:shd w:val="clear" w:color="auto" w:fill="FFFFFF"/>
      <w:spacing w:line="168" w:lineRule="exact"/>
    </w:pPr>
    <w:rPr>
      <w:rFonts w:ascii="Angsana New" w:eastAsia="Angsana New" w:hAnsi="Angsana New" w:cs="Angsana New"/>
      <w:sz w:val="25"/>
      <w:szCs w:val="25"/>
    </w:rPr>
  </w:style>
  <w:style w:type="paragraph" w:customStyle="1" w:styleId="Notaapidipagina20">
    <w:name w:val="Nota a piè di pagina (2)"/>
    <w:basedOn w:val="Normale"/>
    <w:link w:val="Notaapidipagina2"/>
    <w:rsid w:val="006E30F6"/>
    <w:pPr>
      <w:shd w:val="clear" w:color="auto" w:fill="FFFFFF"/>
      <w:spacing w:line="168" w:lineRule="exact"/>
      <w:ind w:firstLine="340"/>
    </w:pPr>
    <w:rPr>
      <w:rFonts w:ascii="Angsana New" w:eastAsia="Angsana New" w:hAnsi="Angsana New" w:cs="Angsana New"/>
      <w:i/>
      <w:iCs/>
      <w:sz w:val="25"/>
      <w:szCs w:val="25"/>
    </w:rPr>
  </w:style>
  <w:style w:type="paragraph" w:customStyle="1" w:styleId="Corpodeltesto31">
    <w:name w:val="Corpo del testo3"/>
    <w:basedOn w:val="Normale"/>
    <w:link w:val="Corpodeltesto"/>
    <w:rsid w:val="006E30F6"/>
    <w:pPr>
      <w:shd w:val="clear" w:color="auto" w:fill="FFFFFF"/>
      <w:spacing w:after="240" w:line="0" w:lineRule="atLeast"/>
    </w:pPr>
    <w:rPr>
      <w:rFonts w:ascii="Angsana New" w:eastAsia="Angsana New" w:hAnsi="Angsana New" w:cs="Angsana New"/>
      <w:sz w:val="29"/>
      <w:szCs w:val="29"/>
    </w:rPr>
  </w:style>
  <w:style w:type="paragraph" w:customStyle="1" w:styleId="Corpodeltesto4">
    <w:name w:val="Corpo del testo (4)"/>
    <w:basedOn w:val="Normale"/>
    <w:link w:val="Corpodeltesto4Exact"/>
    <w:rsid w:val="006E30F6"/>
    <w:pPr>
      <w:shd w:val="clear" w:color="auto" w:fill="FFFFFF"/>
      <w:spacing w:before="240" w:line="0" w:lineRule="atLeast"/>
    </w:pPr>
    <w:rPr>
      <w:rFonts w:ascii="Angsana New" w:eastAsia="Angsana New" w:hAnsi="Angsana New" w:cs="Angsana New"/>
      <w:b/>
      <w:bCs/>
      <w:spacing w:val="8"/>
      <w:sz w:val="42"/>
      <w:szCs w:val="42"/>
    </w:rPr>
  </w:style>
  <w:style w:type="paragraph" w:customStyle="1" w:styleId="Corpodeltesto5">
    <w:name w:val="Corpo del testo (5)"/>
    <w:basedOn w:val="Normale"/>
    <w:link w:val="Corpodeltesto5Exact"/>
    <w:rsid w:val="006E30F6"/>
    <w:pPr>
      <w:shd w:val="clear" w:color="auto" w:fill="FFFFFF"/>
      <w:spacing w:line="0" w:lineRule="atLeast"/>
    </w:pPr>
    <w:rPr>
      <w:rFonts w:ascii="Sylfaen" w:eastAsia="Sylfaen" w:hAnsi="Sylfaen" w:cs="Sylfaen"/>
      <w:spacing w:val="7"/>
      <w:sz w:val="30"/>
      <w:szCs w:val="30"/>
    </w:rPr>
  </w:style>
  <w:style w:type="paragraph" w:customStyle="1" w:styleId="Intestazione10">
    <w:name w:val="Intestazione #1"/>
    <w:basedOn w:val="Normale"/>
    <w:link w:val="Intestazione1"/>
    <w:rsid w:val="006E30F6"/>
    <w:pPr>
      <w:shd w:val="clear" w:color="auto" w:fill="FFFFFF"/>
      <w:spacing w:after="420" w:line="0" w:lineRule="atLeast"/>
      <w:jc w:val="both"/>
      <w:outlineLvl w:val="0"/>
    </w:pPr>
    <w:rPr>
      <w:rFonts w:ascii="Angsana New" w:eastAsia="Angsana New" w:hAnsi="Angsana New" w:cs="Angsana New"/>
      <w:spacing w:val="-30"/>
      <w:sz w:val="205"/>
      <w:szCs w:val="205"/>
    </w:rPr>
  </w:style>
  <w:style w:type="paragraph" w:customStyle="1" w:styleId="Corpodeltesto20">
    <w:name w:val="Corpo del testo (2)"/>
    <w:basedOn w:val="Normale"/>
    <w:link w:val="Corpodeltesto2"/>
    <w:rsid w:val="006E30F6"/>
    <w:pPr>
      <w:shd w:val="clear" w:color="auto" w:fill="FFFFFF"/>
      <w:spacing w:before="420" w:after="5760" w:line="0" w:lineRule="atLeast"/>
    </w:pPr>
    <w:rPr>
      <w:rFonts w:ascii="Angsana New" w:eastAsia="Angsana New" w:hAnsi="Angsana New" w:cs="Angsana New"/>
      <w:spacing w:val="30"/>
      <w:sz w:val="44"/>
      <w:szCs w:val="44"/>
    </w:rPr>
  </w:style>
  <w:style w:type="paragraph" w:customStyle="1" w:styleId="Corpodeltesto30">
    <w:name w:val="Corpo del testo (3)"/>
    <w:basedOn w:val="Normale"/>
    <w:link w:val="Corpodeltesto3"/>
    <w:rsid w:val="006E30F6"/>
    <w:pPr>
      <w:shd w:val="clear" w:color="auto" w:fill="FFFFFF"/>
      <w:spacing w:before="5760" w:line="0" w:lineRule="atLeast"/>
    </w:pPr>
    <w:rPr>
      <w:rFonts w:ascii="Sylfaen" w:eastAsia="Sylfaen" w:hAnsi="Sylfaen" w:cs="Sylfaen"/>
      <w:sz w:val="43"/>
      <w:szCs w:val="43"/>
    </w:rPr>
  </w:style>
  <w:style w:type="paragraph" w:customStyle="1" w:styleId="Intestazione220">
    <w:name w:val="Intestazione #2 (2)"/>
    <w:basedOn w:val="Normale"/>
    <w:link w:val="Intestazione22"/>
    <w:rsid w:val="006E30F6"/>
    <w:pPr>
      <w:shd w:val="clear" w:color="auto" w:fill="FFFFFF"/>
      <w:spacing w:after="1020" w:line="0" w:lineRule="atLeast"/>
      <w:jc w:val="right"/>
      <w:outlineLvl w:val="1"/>
    </w:pPr>
    <w:rPr>
      <w:rFonts w:ascii="Angsana New" w:eastAsia="Angsana New" w:hAnsi="Angsana New" w:cs="Angsana New"/>
      <w:i/>
      <w:iCs/>
      <w:sz w:val="35"/>
      <w:szCs w:val="35"/>
    </w:rPr>
  </w:style>
  <w:style w:type="paragraph" w:customStyle="1" w:styleId="Intestazione20">
    <w:name w:val="Intestazione #2"/>
    <w:basedOn w:val="Normale"/>
    <w:link w:val="Intestazione2"/>
    <w:rsid w:val="006E30F6"/>
    <w:pPr>
      <w:shd w:val="clear" w:color="auto" w:fill="FFFFFF"/>
      <w:spacing w:before="1020" w:after="1020" w:line="0" w:lineRule="atLeast"/>
      <w:jc w:val="right"/>
      <w:outlineLvl w:val="1"/>
    </w:pPr>
    <w:rPr>
      <w:rFonts w:ascii="Angsana New" w:eastAsia="Angsana New" w:hAnsi="Angsana New" w:cs="Angsana New"/>
      <w:sz w:val="35"/>
      <w:szCs w:val="35"/>
    </w:rPr>
  </w:style>
  <w:style w:type="paragraph" w:customStyle="1" w:styleId="Intestazioneopidipagina0">
    <w:name w:val="Intestazione o piè di pagina"/>
    <w:basedOn w:val="Normale"/>
    <w:link w:val="Intestazioneopidipagina"/>
    <w:rsid w:val="006E30F6"/>
    <w:pPr>
      <w:shd w:val="clear" w:color="auto" w:fill="FFFFFF"/>
      <w:spacing w:line="0" w:lineRule="atLeast"/>
    </w:pPr>
    <w:rPr>
      <w:rFonts w:ascii="Angsana New" w:eastAsia="Angsana New" w:hAnsi="Angsana New" w:cs="Angsana New"/>
      <w:i/>
      <w:iCs/>
    </w:rPr>
  </w:style>
  <w:style w:type="paragraph" w:customStyle="1" w:styleId="Corpodeltesto60">
    <w:name w:val="Corpo del testo (6)"/>
    <w:basedOn w:val="Normale"/>
    <w:link w:val="Corpodeltesto6"/>
    <w:rsid w:val="006E30F6"/>
    <w:pPr>
      <w:shd w:val="clear" w:color="auto" w:fill="FFFFFF"/>
      <w:spacing w:before="180" w:line="168" w:lineRule="exact"/>
      <w:jc w:val="both"/>
    </w:pPr>
    <w:rPr>
      <w:rFonts w:ascii="Angsana New" w:eastAsia="Angsana New" w:hAnsi="Angsana New" w:cs="Angsana New"/>
      <w:sz w:val="25"/>
      <w:szCs w:val="25"/>
    </w:rPr>
  </w:style>
  <w:style w:type="paragraph" w:customStyle="1" w:styleId="Corpodeltesto70">
    <w:name w:val="Corpo del testo (7)"/>
    <w:basedOn w:val="Normale"/>
    <w:link w:val="Corpodeltesto7"/>
    <w:rsid w:val="006E30F6"/>
    <w:pPr>
      <w:shd w:val="clear" w:color="auto" w:fill="FFFFFF"/>
      <w:spacing w:line="0" w:lineRule="atLeast"/>
    </w:pPr>
    <w:rPr>
      <w:rFonts w:ascii="Angsana New" w:eastAsia="Angsana New" w:hAnsi="Angsana New" w:cs="Angsana New"/>
      <w:i/>
      <w:iCs/>
      <w:sz w:val="29"/>
      <w:szCs w:val="29"/>
    </w:rPr>
  </w:style>
  <w:style w:type="paragraph" w:styleId="Intestazione">
    <w:name w:val="header"/>
    <w:basedOn w:val="Normale"/>
    <w:link w:val="IntestazioneCarattere"/>
    <w:uiPriority w:val="99"/>
    <w:semiHidden/>
    <w:unhideWhenUsed/>
    <w:rsid w:val="00ED0A5D"/>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ED0A5D"/>
    <w:rPr>
      <w:color w:val="000000"/>
    </w:rPr>
  </w:style>
  <w:style w:type="paragraph" w:styleId="Pidipagina">
    <w:name w:val="footer"/>
    <w:basedOn w:val="Normale"/>
    <w:link w:val="PidipaginaCarattere"/>
    <w:uiPriority w:val="99"/>
    <w:semiHidden/>
    <w:unhideWhenUsed/>
    <w:rsid w:val="00ED0A5D"/>
    <w:pPr>
      <w:tabs>
        <w:tab w:val="center" w:pos="4819"/>
        <w:tab w:val="right" w:pos="9638"/>
      </w:tabs>
    </w:pPr>
  </w:style>
  <w:style w:type="character" w:customStyle="1" w:styleId="PidipaginaCarattere">
    <w:name w:val="Piè di pagina Carattere"/>
    <w:basedOn w:val="Carpredefinitoparagrafo"/>
    <w:link w:val="Pidipagina"/>
    <w:uiPriority w:val="99"/>
    <w:semiHidden/>
    <w:rsid w:val="00ED0A5D"/>
    <w:rPr>
      <w:color w:val="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3858</Words>
  <Characters>21995</Characters>
  <Application>Microsoft Office Word</Application>
  <DocSecurity>0</DocSecurity>
  <Lines>183</Lines>
  <Paragraphs>51</Paragraphs>
  <ScaleCrop>false</ScaleCrop>
  <Company/>
  <LinksUpToDate>false</LinksUpToDate>
  <CharactersWithSpaces>25802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Cristian</dc:creator>
  <cp:lastModifiedBy>Cristian</cp:lastModifiedBy>
  <cp:revision>1</cp:revision>
  <dcterms:created xsi:type="dcterms:W3CDTF">2014-09-28T07:27:00Z</dcterms:created>
  <dcterms:modified xsi:type="dcterms:W3CDTF">2014-09-28T07:28:00Z</dcterms:modified>
</cp:coreProperties>
</file>